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黑体" w:hAnsi="黑体" w:eastAsia="黑体" w:cs="黑体"/>
          <w:bCs/>
          <w:sz w:val="44"/>
          <w:szCs w:val="48"/>
          <w:lang w:eastAsia="zh-CN"/>
        </w:rPr>
      </w:pPr>
      <w:bookmarkStart w:id="0" w:name="_Hlk42591581"/>
      <w:r>
        <w:rPr>
          <w:rFonts w:hint="eastAsia" w:ascii="黑体" w:hAnsi="黑体" w:eastAsia="黑体" w:cs="黑体"/>
          <w:bCs/>
          <w:sz w:val="44"/>
          <w:szCs w:val="48"/>
          <w:lang w:eastAsia="zh-CN"/>
        </w:rPr>
        <w:t>第一批乳腺癌规范诊疗质量控制试点评估方案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方正小标宋简体" w:hAnsi="方正小标宋简体" w:eastAsia="方正小标宋简体"/>
          <w:bCs/>
          <w:sz w:val="44"/>
          <w:szCs w:val="48"/>
          <w:lang w:eastAsia="zh-CN"/>
        </w:rPr>
      </w:pPr>
    </w:p>
    <w:bookmarkEnd w:id="0"/>
    <w:p>
      <w:pPr>
        <w:keepNext w:val="0"/>
        <w:keepLines w:val="0"/>
        <w:pageBreakBefore w:val="0"/>
        <w:numPr>
          <w:ilvl w:val="0"/>
          <w:numId w:val="0"/>
        </w:numPr>
        <w:kinsoku/>
        <w:wordWrap/>
        <w:overflowPunct/>
        <w:topLinePunct w:val="0"/>
        <w:autoSpaceDE/>
        <w:autoSpaceDN/>
        <w:bidi w:val="0"/>
        <w:adjustRightInd/>
        <w:snapToGrid/>
        <w:spacing w:line="360" w:lineRule="auto"/>
        <w:ind w:firstLine="640" w:firstLineChars="2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一、考评对象</w:t>
      </w:r>
    </w:p>
    <w:p>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仿宋" w:hAnsi="仿宋" w:eastAsia="仿宋" w:cs="仿宋"/>
          <w:sz w:val="32"/>
          <w:szCs w:val="32"/>
          <w:lang w:val="en-US" w:eastAsia="zh-CN"/>
        </w:rPr>
      </w:pPr>
      <w:r>
        <w:rPr>
          <w:rFonts w:hint="eastAsia" w:ascii="黑体" w:hAnsi="黑体" w:eastAsia="黑体"/>
          <w:sz w:val="32"/>
          <w:szCs w:val="32"/>
          <w:lang w:val="en-US" w:eastAsia="zh-CN"/>
        </w:rPr>
        <w:t xml:space="preserve">    </w:t>
      </w:r>
      <w:r>
        <w:rPr>
          <w:rFonts w:hint="eastAsia" w:eastAsia="仿宋"/>
          <w:sz w:val="32"/>
          <w:szCs w:val="32"/>
          <w:lang w:val="en-US" w:eastAsia="zh-CN"/>
        </w:rPr>
        <w:t>考评对象为</w:t>
      </w:r>
      <w:r>
        <w:rPr>
          <w:rFonts w:hint="eastAsia" w:ascii="仿宋" w:hAnsi="仿宋" w:eastAsia="仿宋" w:cs="仿宋"/>
          <w:sz w:val="32"/>
          <w:szCs w:val="32"/>
        </w:rPr>
        <w:t>200家第一</w:t>
      </w:r>
      <w:bookmarkStart w:id="1" w:name="_GoBack"/>
      <w:bookmarkEnd w:id="1"/>
      <w:r>
        <w:rPr>
          <w:rFonts w:hint="eastAsia" w:ascii="仿宋" w:hAnsi="仿宋" w:eastAsia="仿宋" w:cs="仿宋"/>
          <w:sz w:val="32"/>
          <w:szCs w:val="32"/>
        </w:rPr>
        <w:t>批乳腺癌规范诊疗质量控制试点单位</w:t>
      </w:r>
      <w:r>
        <w:rPr>
          <w:rFonts w:hint="eastAsia" w:ascii="仿宋" w:hAnsi="仿宋" w:eastAsia="仿宋" w:cs="仿宋"/>
          <w:sz w:val="32"/>
          <w:szCs w:val="32"/>
          <w:lang w:eastAsia="zh-CN"/>
        </w:rPr>
        <w:t>。</w:t>
      </w:r>
    </w:p>
    <w:p>
      <w:pPr>
        <w:keepNext w:val="0"/>
        <w:keepLines w:val="0"/>
        <w:pageBreakBefore w:val="0"/>
        <w:kinsoku/>
        <w:wordWrap/>
        <w:overflowPunct/>
        <w:topLinePunct w:val="0"/>
        <w:autoSpaceDE/>
        <w:autoSpaceDN/>
        <w:bidi w:val="0"/>
        <w:adjustRightInd/>
        <w:snapToGrid/>
        <w:spacing w:line="360" w:lineRule="auto"/>
        <w:ind w:firstLine="567"/>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二、考评时间</w:t>
      </w:r>
    </w:p>
    <w:p>
      <w:pPr>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cs="仿宋"/>
          <w:sz w:val="32"/>
          <w:szCs w:val="32"/>
          <w:lang w:eastAsia="zh-CN"/>
        </w:rPr>
      </w:pPr>
      <w:r>
        <w:rPr>
          <w:rFonts w:hint="eastAsia" w:eastAsia="仿宋"/>
          <w:sz w:val="32"/>
          <w:szCs w:val="32"/>
          <w:lang w:val="en-US" w:eastAsia="zh-CN"/>
        </w:rPr>
        <w:t>试点评估开展时间为</w:t>
      </w:r>
      <w:r>
        <w:rPr>
          <w:rFonts w:hint="eastAsia" w:ascii="仿宋" w:hAnsi="仿宋" w:eastAsia="仿宋" w:cs="仿宋"/>
          <w:sz w:val="32"/>
          <w:szCs w:val="32"/>
          <w:lang w:val="en-US" w:eastAsia="zh-CN"/>
        </w:rPr>
        <w:t>2023年6月至2024年4月。</w:t>
      </w:r>
    </w:p>
    <w:p>
      <w:pPr>
        <w:keepNext w:val="0"/>
        <w:keepLines w:val="0"/>
        <w:pageBreakBefore w:val="0"/>
        <w:kinsoku/>
        <w:wordWrap/>
        <w:overflowPunct/>
        <w:topLinePunct w:val="0"/>
        <w:autoSpaceDE/>
        <w:autoSpaceDN/>
        <w:bidi w:val="0"/>
        <w:adjustRightInd/>
        <w:snapToGrid/>
        <w:spacing w:line="360" w:lineRule="auto"/>
        <w:ind w:firstLine="567"/>
        <w:textAlignment w:val="auto"/>
        <w:rPr>
          <w:rFonts w:hint="default" w:ascii="黑体" w:hAnsi="黑体" w:eastAsia="黑体"/>
          <w:sz w:val="32"/>
          <w:szCs w:val="32"/>
          <w:lang w:val="en-US" w:eastAsia="zh-CN"/>
        </w:rPr>
      </w:pPr>
      <w:r>
        <w:rPr>
          <w:rFonts w:hint="eastAsia" w:ascii="黑体" w:hAnsi="黑体" w:eastAsia="黑体"/>
          <w:sz w:val="32"/>
          <w:szCs w:val="32"/>
          <w:lang w:val="en-US" w:eastAsia="zh-CN"/>
        </w:rPr>
        <w:t>三、考评目的</w:t>
      </w:r>
    </w:p>
    <w:p>
      <w:pPr>
        <w:keepNext w:val="0"/>
        <w:keepLines w:val="0"/>
        <w:pageBreakBefore w:val="0"/>
        <w:kinsoku/>
        <w:wordWrap/>
        <w:overflowPunct/>
        <w:topLinePunct w:val="0"/>
        <w:autoSpaceDE/>
        <w:autoSpaceDN/>
        <w:bidi w:val="0"/>
        <w:adjustRightInd/>
        <w:snapToGrid/>
        <w:spacing w:line="360" w:lineRule="auto"/>
        <w:ind w:firstLine="640" w:firstLineChars="200"/>
        <w:jc w:val="both"/>
        <w:textAlignment w:val="auto"/>
        <w:rPr>
          <w:rFonts w:hint="eastAsia" w:eastAsia="仿宋"/>
          <w:sz w:val="32"/>
          <w:szCs w:val="32"/>
          <w:lang w:eastAsia="zh-CN"/>
        </w:rPr>
      </w:pPr>
      <w:r>
        <w:rPr>
          <w:rFonts w:hint="eastAsia" w:eastAsia="仿宋"/>
          <w:sz w:val="32"/>
          <w:szCs w:val="32"/>
          <w:lang w:val="en-US" w:eastAsia="zh-CN"/>
        </w:rPr>
        <w:t>通过考评各试点单位在建设期（</w:t>
      </w:r>
      <w:r>
        <w:rPr>
          <w:rFonts w:hint="eastAsia" w:ascii="仿宋" w:hAnsi="仿宋" w:eastAsia="仿宋"/>
          <w:sz w:val="32"/>
          <w:szCs w:val="32"/>
        </w:rPr>
        <w:t>2021年1月至2022年12月</w:t>
      </w:r>
      <w:r>
        <w:rPr>
          <w:rFonts w:hint="eastAsia" w:eastAsia="仿宋"/>
          <w:sz w:val="32"/>
          <w:szCs w:val="32"/>
          <w:lang w:val="en-US" w:eastAsia="zh-CN"/>
        </w:rPr>
        <w:t>）内乳腺癌规范化诊疗及质量控制管理工作开展情况，了解各单位</w:t>
      </w:r>
      <w:r>
        <w:rPr>
          <w:rFonts w:hint="eastAsia" w:eastAsia="仿宋"/>
          <w:sz w:val="32"/>
          <w:szCs w:val="32"/>
        </w:rPr>
        <w:t>乳腺癌规范化诊疗水平</w:t>
      </w:r>
      <w:r>
        <w:rPr>
          <w:rFonts w:hint="eastAsia" w:eastAsia="仿宋"/>
          <w:sz w:val="32"/>
          <w:szCs w:val="32"/>
          <w:lang w:val="en-US" w:eastAsia="zh-CN"/>
        </w:rPr>
        <w:t>，并对通过评估的试点单位授予国家癌症中心</w:t>
      </w:r>
      <w:r>
        <w:rPr>
          <w:rFonts w:hint="default" w:eastAsia="仿宋"/>
          <w:sz w:val="32"/>
          <w:szCs w:val="32"/>
          <w:lang w:val="en-US" w:eastAsia="zh-CN"/>
        </w:rPr>
        <w:t>乳腺癌</w:t>
      </w:r>
      <w:r>
        <w:rPr>
          <w:rFonts w:hint="eastAsia" w:eastAsia="仿宋"/>
          <w:sz w:val="32"/>
          <w:szCs w:val="32"/>
          <w:lang w:val="en-US" w:eastAsia="zh-CN"/>
        </w:rPr>
        <w:t>规范诊疗</w:t>
      </w:r>
      <w:r>
        <w:rPr>
          <w:rFonts w:hint="default" w:eastAsia="仿宋"/>
          <w:sz w:val="32"/>
          <w:szCs w:val="32"/>
          <w:lang w:val="en-US" w:eastAsia="zh-CN"/>
        </w:rPr>
        <w:t>质量控制规范单位和示范单位</w:t>
      </w:r>
      <w:r>
        <w:rPr>
          <w:rFonts w:hint="eastAsia" w:eastAsia="仿宋"/>
          <w:sz w:val="32"/>
          <w:szCs w:val="32"/>
          <w:lang w:val="en-US" w:eastAsia="zh-CN"/>
        </w:rPr>
        <w:t>称号。</w:t>
      </w:r>
    </w:p>
    <w:p>
      <w:pPr>
        <w:keepNext w:val="0"/>
        <w:keepLines w:val="0"/>
        <w:pageBreakBefore w:val="0"/>
        <w:kinsoku/>
        <w:wordWrap/>
        <w:overflowPunct/>
        <w:topLinePunct w:val="0"/>
        <w:autoSpaceDE/>
        <w:autoSpaceDN/>
        <w:bidi w:val="0"/>
        <w:adjustRightInd/>
        <w:snapToGrid/>
        <w:spacing w:line="360" w:lineRule="auto"/>
        <w:ind w:firstLine="567"/>
        <w:textAlignment w:val="auto"/>
        <w:rPr>
          <w:rFonts w:hint="eastAsia" w:ascii="仿宋" w:hAnsi="仿宋" w:eastAsia="仿宋"/>
          <w:sz w:val="32"/>
          <w:szCs w:val="32"/>
        </w:rPr>
      </w:pPr>
      <w:r>
        <w:rPr>
          <w:rFonts w:hint="eastAsia" w:ascii="黑体" w:hAnsi="黑体" w:eastAsia="黑体"/>
          <w:sz w:val="32"/>
          <w:szCs w:val="32"/>
          <w:lang w:val="en-US" w:eastAsia="zh-CN"/>
        </w:rPr>
        <w:t>四、考评内容</w:t>
      </w:r>
    </w:p>
    <w:p>
      <w:pPr>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ascii="仿宋" w:hAnsi="仿宋" w:eastAsia="仿宋"/>
          <w:sz w:val="32"/>
          <w:szCs w:val="32"/>
          <w:lang w:eastAsia="zh-CN"/>
        </w:rPr>
      </w:pPr>
      <w:r>
        <w:rPr>
          <w:rFonts w:hint="eastAsia" w:ascii="仿宋" w:hAnsi="仿宋" w:eastAsia="仿宋"/>
          <w:sz w:val="32"/>
          <w:szCs w:val="32"/>
          <w:lang w:val="en-US" w:eastAsia="zh-CN"/>
        </w:rPr>
        <w:t>试点</w:t>
      </w:r>
      <w:r>
        <w:rPr>
          <w:rFonts w:hint="eastAsia" w:ascii="仿宋" w:hAnsi="仿宋" w:eastAsia="仿宋"/>
          <w:sz w:val="32"/>
          <w:szCs w:val="32"/>
        </w:rPr>
        <w:t>评估</w:t>
      </w:r>
      <w:r>
        <w:rPr>
          <w:rFonts w:hint="eastAsia" w:ascii="仿宋" w:hAnsi="仿宋" w:eastAsia="仿宋"/>
          <w:sz w:val="32"/>
          <w:szCs w:val="32"/>
          <w:lang w:val="en-US" w:eastAsia="zh-CN"/>
        </w:rPr>
        <w:t>内容</w:t>
      </w:r>
      <w:r>
        <w:rPr>
          <w:rFonts w:hint="eastAsia" w:ascii="仿宋" w:hAnsi="仿宋" w:eastAsia="仿宋"/>
          <w:sz w:val="32"/>
          <w:szCs w:val="32"/>
        </w:rPr>
        <w:t>包括质控指标数据结果考核、现场</w:t>
      </w:r>
      <w:r>
        <w:rPr>
          <w:rFonts w:hint="eastAsia" w:ascii="仿宋" w:hAnsi="仿宋" w:eastAsia="仿宋"/>
          <w:sz w:val="32"/>
          <w:szCs w:val="32"/>
          <w:lang w:val="en-US" w:eastAsia="zh-CN"/>
        </w:rPr>
        <w:t>检查</w:t>
      </w:r>
      <w:r>
        <w:rPr>
          <w:rFonts w:hint="eastAsia" w:ascii="仿宋" w:hAnsi="仿宋" w:eastAsia="仿宋"/>
          <w:sz w:val="32"/>
          <w:szCs w:val="32"/>
        </w:rPr>
        <w:t>情况评价、试点能力建设加分项等三个部分</w:t>
      </w:r>
      <w:r>
        <w:rPr>
          <w:rFonts w:hint="eastAsia" w:ascii="仿宋" w:hAnsi="仿宋" w:eastAsia="仿宋"/>
          <w:sz w:val="32"/>
          <w:szCs w:val="32"/>
          <w:lang w:eastAsia="zh-CN"/>
        </w:rPr>
        <w:t>。</w:t>
      </w:r>
    </w:p>
    <w:p>
      <w:pPr>
        <w:keepNext w:val="0"/>
        <w:keepLines w:val="0"/>
        <w:pageBreakBefore w:val="0"/>
        <w:kinsoku/>
        <w:wordWrap/>
        <w:overflowPunct/>
        <w:topLinePunct w:val="0"/>
        <w:autoSpaceDE/>
        <w:autoSpaceDN/>
        <w:bidi w:val="0"/>
        <w:adjustRightInd/>
        <w:snapToGrid/>
        <w:spacing w:line="360" w:lineRule="auto"/>
        <w:ind w:firstLine="320" w:firstLineChars="1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（一）质控指标数据结果</w:t>
      </w:r>
    </w:p>
    <w:p>
      <w:pPr>
        <w:keepNext w:val="0"/>
        <w:keepLines w:val="0"/>
        <w:pageBreakBefore w:val="0"/>
        <w:widowControl/>
        <w:kinsoku/>
        <w:wordWrap/>
        <w:overflowPunct/>
        <w:topLinePunct w:val="0"/>
        <w:autoSpaceDE/>
        <w:autoSpaceDN/>
        <w:bidi w:val="0"/>
        <w:adjustRightInd/>
        <w:snapToGrid/>
        <w:spacing w:line="360" w:lineRule="auto"/>
        <w:ind w:firstLine="640" w:firstLineChars="200"/>
        <w:jc w:val="both"/>
        <w:textAlignment w:val="auto"/>
        <w:rPr>
          <w:rFonts w:ascii="仿宋" w:hAnsi="仿宋" w:eastAsia="仿宋"/>
          <w:sz w:val="32"/>
          <w:szCs w:val="32"/>
        </w:rPr>
      </w:pPr>
      <w:r>
        <w:rPr>
          <w:rFonts w:hint="eastAsia" w:ascii="仿宋" w:hAnsi="仿宋" w:eastAsia="仿宋" w:cs="仿宋"/>
          <w:color w:val="000000"/>
          <w:kern w:val="0"/>
          <w:sz w:val="32"/>
          <w:szCs w:val="32"/>
          <w:lang w:val="en-US" w:eastAsia="zh-CN" w:bidi="ar"/>
        </w:rPr>
        <w:t>1.</w:t>
      </w:r>
      <w:r>
        <w:rPr>
          <w:rFonts w:hint="eastAsia" w:ascii="仿宋" w:hAnsi="仿宋" w:eastAsia="仿宋"/>
          <w:sz w:val="32"/>
          <w:szCs w:val="32"/>
        </w:rPr>
        <w:t>乳腺癌规范诊疗质量控制和管理指标数据结果考核部分，以各试点单位上报至全国抗肿瘤药物临床应用监测网的诊疗数据为基础。数据上报方式包括自动对接上报及医院人工上报。</w:t>
      </w:r>
    </w:p>
    <w:p>
      <w:pPr>
        <w:keepNext w:val="0"/>
        <w:keepLines w:val="0"/>
        <w:pageBreakBefore w:val="0"/>
        <w:widowControl/>
        <w:kinsoku/>
        <w:wordWrap/>
        <w:overflowPunct/>
        <w:topLinePunct w:val="0"/>
        <w:autoSpaceDE/>
        <w:autoSpaceDN/>
        <w:bidi w:val="0"/>
        <w:adjustRightInd/>
        <w:snapToGrid/>
        <w:spacing w:line="360" w:lineRule="auto"/>
        <w:ind w:firstLine="640" w:firstLineChars="200"/>
        <w:jc w:val="left"/>
        <w:textAlignment w:val="auto"/>
        <w:rPr>
          <w:rFonts w:ascii="仿宋" w:hAnsi="仿宋" w:eastAsia="仿宋"/>
          <w:sz w:val="32"/>
          <w:szCs w:val="32"/>
        </w:rPr>
      </w:pPr>
      <w:r>
        <w:rPr>
          <w:rFonts w:hint="eastAsia" w:ascii="仿宋" w:hAnsi="仿宋" w:eastAsia="仿宋" w:cs="仿宋"/>
          <w:color w:val="000000"/>
          <w:kern w:val="0"/>
          <w:sz w:val="32"/>
          <w:szCs w:val="32"/>
          <w:lang w:val="en-US" w:eastAsia="zh-CN" w:bidi="ar"/>
        </w:rPr>
        <w:t>2.</w:t>
      </w:r>
      <w:r>
        <w:rPr>
          <w:rFonts w:hint="eastAsia" w:ascii="仿宋" w:hAnsi="仿宋" w:eastAsia="仿宋"/>
          <w:sz w:val="32"/>
          <w:szCs w:val="32"/>
        </w:rPr>
        <w:t>考察范围为2021年1月至2022年12月各试点单位上报的乳腺癌诊疗数据。</w:t>
      </w:r>
    </w:p>
    <w:p>
      <w:pPr>
        <w:keepNext w:val="0"/>
        <w:keepLines w:val="0"/>
        <w:pageBreakBefore w:val="0"/>
        <w:widowControl/>
        <w:kinsoku/>
        <w:wordWrap/>
        <w:overflowPunct/>
        <w:topLinePunct w:val="0"/>
        <w:autoSpaceDE/>
        <w:autoSpaceDN/>
        <w:bidi w:val="0"/>
        <w:adjustRightInd/>
        <w:snapToGrid/>
        <w:spacing w:line="360" w:lineRule="auto"/>
        <w:ind w:firstLine="640" w:firstLineChars="200"/>
        <w:jc w:val="both"/>
        <w:textAlignment w:val="auto"/>
        <w:rPr>
          <w:rFonts w:ascii="仿宋" w:hAnsi="仿宋" w:eastAsia="仿宋"/>
          <w:sz w:val="32"/>
          <w:szCs w:val="32"/>
        </w:rPr>
      </w:pPr>
      <w:r>
        <w:rPr>
          <w:rFonts w:hint="eastAsia" w:ascii="仿宋" w:hAnsi="仿宋" w:eastAsia="仿宋" w:cs="仿宋"/>
          <w:color w:val="000000"/>
          <w:kern w:val="0"/>
          <w:sz w:val="32"/>
          <w:szCs w:val="32"/>
          <w:lang w:val="en-US" w:eastAsia="zh-CN" w:bidi="ar"/>
        </w:rPr>
        <w:t>3.</w:t>
      </w:r>
      <w:r>
        <w:rPr>
          <w:rFonts w:hint="eastAsia" w:ascii="仿宋" w:hAnsi="仿宋" w:eastAsia="仿宋"/>
          <w:sz w:val="32"/>
          <w:szCs w:val="32"/>
        </w:rPr>
        <w:t>结合全国抗肿瘤药物临床应用监测网实际可收集的诊疗数据，遵循可操作性原则，国家癌症中心从乳腺癌专家委员会发布的《中国乳腺癌规范诊疗质量控制指标（2022版）》中选取</w:t>
      </w:r>
      <w:r>
        <w:rPr>
          <w:rFonts w:hint="eastAsia" w:ascii="仿宋" w:hAnsi="仿宋" w:eastAsia="仿宋"/>
          <w:sz w:val="32"/>
          <w:szCs w:val="32"/>
          <w:lang w:val="en-US" w:eastAsia="zh-CN"/>
        </w:rPr>
        <w:t>10</w:t>
      </w:r>
      <w:r>
        <w:rPr>
          <w:rFonts w:hint="eastAsia" w:ascii="仿宋" w:hAnsi="仿宋" w:eastAsia="仿宋"/>
          <w:sz w:val="32"/>
          <w:szCs w:val="32"/>
        </w:rPr>
        <w:t>项乳</w:t>
      </w:r>
      <w:r>
        <w:rPr>
          <w:rFonts w:ascii="仿宋" w:hAnsi="仿宋" w:eastAsia="仿宋"/>
          <w:sz w:val="32"/>
          <w:szCs w:val="32"/>
        </w:rPr>
        <w:t>腺癌</w:t>
      </w:r>
      <w:r>
        <w:rPr>
          <w:rFonts w:hint="eastAsia" w:ascii="仿宋" w:hAnsi="仿宋" w:eastAsia="仿宋"/>
          <w:sz w:val="32"/>
          <w:szCs w:val="32"/>
        </w:rPr>
        <w:t>质控指标</w:t>
      </w:r>
      <w:r>
        <w:rPr>
          <w:rFonts w:hint="eastAsia" w:ascii="仿宋" w:hAnsi="仿宋" w:eastAsia="仿宋"/>
          <w:sz w:val="32"/>
          <w:szCs w:val="32"/>
          <w:lang w:eastAsia="zh-CN"/>
        </w:rPr>
        <w:t>（</w:t>
      </w:r>
      <w:r>
        <w:rPr>
          <w:rFonts w:hint="eastAsia" w:ascii="仿宋" w:hAnsi="仿宋" w:eastAsia="仿宋"/>
          <w:sz w:val="32"/>
          <w:szCs w:val="32"/>
        </w:rPr>
        <w:t>见</w:t>
      </w:r>
      <w:r>
        <w:rPr>
          <w:rFonts w:hint="eastAsia" w:ascii="仿宋" w:hAnsi="仿宋" w:eastAsia="仿宋"/>
          <w:sz w:val="32"/>
          <w:szCs w:val="32"/>
          <w:lang w:val="en-US" w:eastAsia="zh-CN"/>
        </w:rPr>
        <w:t>附录1</w:t>
      </w:r>
      <w:r>
        <w:rPr>
          <w:rFonts w:hint="eastAsia" w:ascii="仿宋" w:hAnsi="仿宋" w:eastAsia="仿宋"/>
          <w:sz w:val="32"/>
          <w:szCs w:val="32"/>
          <w:lang w:eastAsia="zh-CN"/>
        </w:rPr>
        <w:t>）</w:t>
      </w:r>
      <w:r>
        <w:rPr>
          <w:rFonts w:hint="eastAsia" w:ascii="仿宋" w:hAnsi="仿宋" w:eastAsia="仿宋"/>
          <w:sz w:val="32"/>
          <w:szCs w:val="32"/>
        </w:rPr>
        <w:t>，作为本次质控指标数据结果考核内容。</w:t>
      </w:r>
    </w:p>
    <w:p>
      <w:pPr>
        <w:keepNext w:val="0"/>
        <w:keepLines w:val="0"/>
        <w:pageBreakBefore w:val="0"/>
        <w:kinsoku/>
        <w:wordWrap/>
        <w:overflowPunct/>
        <w:topLinePunct w:val="0"/>
        <w:autoSpaceDE/>
        <w:autoSpaceDN/>
        <w:bidi w:val="0"/>
        <w:adjustRightInd/>
        <w:snapToGrid/>
        <w:spacing w:line="360" w:lineRule="auto"/>
        <w:ind w:firstLine="640" w:firstLineChars="200"/>
        <w:jc w:val="left"/>
        <w:textAlignment w:val="auto"/>
        <w:rPr>
          <w:rFonts w:ascii="仿宋" w:hAnsi="仿宋" w:eastAsia="仿宋"/>
          <w:sz w:val="32"/>
          <w:szCs w:val="32"/>
        </w:rPr>
      </w:pPr>
      <w:r>
        <w:rPr>
          <w:rFonts w:hint="eastAsia" w:ascii="仿宋" w:hAnsi="仿宋" w:eastAsia="仿宋" w:cs="仿宋"/>
          <w:sz w:val="32"/>
          <w:szCs w:val="32"/>
          <w:lang w:val="en-US" w:eastAsia="zh-CN"/>
        </w:rPr>
        <w:t>4.</w:t>
      </w:r>
      <w:r>
        <w:rPr>
          <w:rFonts w:hint="eastAsia" w:ascii="仿宋" w:hAnsi="仿宋" w:eastAsia="仿宋"/>
          <w:sz w:val="32"/>
          <w:szCs w:val="32"/>
        </w:rPr>
        <w:t>计分原则：</w:t>
      </w:r>
    </w:p>
    <w:p>
      <w:pPr>
        <w:keepNext w:val="0"/>
        <w:keepLines w:val="0"/>
        <w:pageBreakBefore w:val="0"/>
        <w:kinsoku/>
        <w:wordWrap/>
        <w:overflowPunct/>
        <w:topLinePunct w:val="0"/>
        <w:autoSpaceDE/>
        <w:autoSpaceDN/>
        <w:bidi w:val="0"/>
        <w:adjustRightInd/>
        <w:snapToGrid/>
        <w:spacing w:line="360" w:lineRule="auto"/>
        <w:ind w:firstLine="640" w:firstLineChars="200"/>
        <w:jc w:val="both"/>
        <w:textAlignment w:val="auto"/>
        <w:rPr>
          <w:rFonts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lang w:eastAsia="zh-CN"/>
        </w:rPr>
        <w:t>）</w:t>
      </w:r>
      <w:r>
        <w:rPr>
          <w:rFonts w:hint="eastAsia" w:ascii="仿宋" w:hAnsi="仿宋" w:eastAsia="仿宋"/>
          <w:sz w:val="32"/>
          <w:szCs w:val="32"/>
        </w:rPr>
        <w:t>单项</w:t>
      </w:r>
      <w:r>
        <w:rPr>
          <w:rFonts w:ascii="仿宋" w:hAnsi="仿宋" w:eastAsia="仿宋"/>
          <w:sz w:val="32"/>
          <w:szCs w:val="32"/>
        </w:rPr>
        <w:t>指标得分=</w:t>
      </w:r>
      <w:r>
        <w:rPr>
          <w:rFonts w:hint="eastAsia" w:ascii="仿宋" w:hAnsi="仿宋" w:eastAsia="仿宋"/>
          <w:sz w:val="32"/>
          <w:szCs w:val="32"/>
        </w:rPr>
        <w:t>10×</w:t>
      </w:r>
      <w:r>
        <w:rPr>
          <w:rFonts w:ascii="仿宋" w:hAnsi="仿宋" w:eastAsia="仿宋"/>
          <w:sz w:val="32"/>
          <w:szCs w:val="32"/>
        </w:rPr>
        <w:t>权重系数</w:t>
      </w:r>
      <w:r>
        <w:rPr>
          <w:rFonts w:hint="eastAsia" w:ascii="仿宋" w:hAnsi="仿宋" w:eastAsia="仿宋"/>
          <w:sz w:val="32"/>
          <w:szCs w:val="32"/>
        </w:rPr>
        <w:t>×</w:t>
      </w:r>
      <w:r>
        <w:rPr>
          <w:rFonts w:ascii="仿宋" w:hAnsi="仿宋" w:eastAsia="仿宋"/>
          <w:sz w:val="32"/>
          <w:szCs w:val="32"/>
        </w:rPr>
        <w:t>排名系数</w:t>
      </w:r>
      <w:r>
        <w:rPr>
          <w:rFonts w:hint="eastAsia" w:ascii="仿宋" w:hAnsi="仿宋" w:eastAsia="仿宋"/>
          <w:sz w:val="32"/>
          <w:szCs w:val="32"/>
        </w:rPr>
        <w:t>×</w:t>
      </w:r>
      <w:r>
        <w:rPr>
          <w:rFonts w:ascii="仿宋" w:hAnsi="仿宋" w:eastAsia="仿宋"/>
          <w:sz w:val="32"/>
          <w:szCs w:val="32"/>
        </w:rPr>
        <w:t>数据完整度系数。</w:t>
      </w:r>
      <w:r>
        <w:rPr>
          <w:rFonts w:hint="eastAsia" w:ascii="仿宋" w:hAnsi="仿宋" w:eastAsia="仿宋"/>
          <w:sz w:val="32"/>
          <w:szCs w:val="32"/>
        </w:rPr>
        <w:t>其中权重系数定义：根据国家诊疗政策整体方向对不同指标得分占比予以赋值比例</w:t>
      </w:r>
      <w:r>
        <w:rPr>
          <w:rFonts w:hint="eastAsia" w:ascii="仿宋" w:hAnsi="仿宋" w:eastAsia="仿宋"/>
          <w:sz w:val="32"/>
          <w:szCs w:val="32"/>
          <w:lang w:eastAsia="zh-CN"/>
        </w:rPr>
        <w:t>（</w:t>
      </w:r>
      <w:r>
        <w:rPr>
          <w:rFonts w:hint="eastAsia" w:ascii="仿宋" w:hAnsi="仿宋" w:eastAsia="仿宋"/>
          <w:sz w:val="32"/>
          <w:szCs w:val="32"/>
          <w:lang w:val="en-US" w:eastAsia="zh-CN"/>
        </w:rPr>
        <w:t>本次评估各指标权重系数均为1</w:t>
      </w:r>
      <w:r>
        <w:rPr>
          <w:rFonts w:hint="eastAsia" w:ascii="仿宋" w:hAnsi="仿宋" w:eastAsia="仿宋"/>
          <w:sz w:val="32"/>
          <w:szCs w:val="32"/>
          <w:lang w:eastAsia="zh-CN"/>
        </w:rPr>
        <w:t>）</w:t>
      </w:r>
      <w:r>
        <w:rPr>
          <w:rFonts w:ascii="仿宋" w:hAnsi="仿宋" w:eastAsia="仿宋"/>
          <w:sz w:val="32"/>
          <w:szCs w:val="32"/>
        </w:rPr>
        <w:t>。</w:t>
      </w:r>
      <w:r>
        <w:rPr>
          <w:rFonts w:hint="eastAsia" w:ascii="仿宋" w:hAnsi="仿宋" w:eastAsia="仿宋"/>
          <w:sz w:val="32"/>
          <w:szCs w:val="32"/>
        </w:rPr>
        <w:t>排名系数的定义：某医院该指标排名为</w:t>
      </w:r>
      <w:r>
        <w:rPr>
          <w:rFonts w:ascii="仿宋" w:hAnsi="仿宋" w:eastAsia="仿宋"/>
          <w:sz w:val="32"/>
          <w:szCs w:val="32"/>
        </w:rPr>
        <w:t>n，排名系数计算方式为1-</w:t>
      </w:r>
      <w:r>
        <w:rPr>
          <w:rFonts w:hint="eastAsia" w:ascii="仿宋" w:hAnsi="仿宋" w:eastAsia="仿宋"/>
          <w:sz w:val="32"/>
          <w:szCs w:val="32"/>
          <w:lang w:val="en-US" w:eastAsia="zh-CN"/>
        </w:rPr>
        <w:t>[</w:t>
      </w:r>
      <w:r>
        <w:rPr>
          <w:rFonts w:ascii="仿宋" w:hAnsi="仿宋" w:eastAsia="仿宋"/>
          <w:sz w:val="32"/>
          <w:szCs w:val="32"/>
        </w:rPr>
        <w:t>(n-1)/</w:t>
      </w:r>
      <w:r>
        <w:rPr>
          <w:rFonts w:hint="eastAsia" w:ascii="仿宋" w:hAnsi="仿宋" w:eastAsia="仿宋"/>
          <w:sz w:val="32"/>
          <w:szCs w:val="32"/>
          <w:lang w:val="en-US" w:eastAsia="zh-CN"/>
        </w:rPr>
        <w:t>200]</w:t>
      </w:r>
      <w:r>
        <w:rPr>
          <w:rFonts w:ascii="仿宋" w:hAnsi="仿宋" w:eastAsia="仿宋"/>
          <w:sz w:val="32"/>
          <w:szCs w:val="32"/>
        </w:rPr>
        <w:t>。</w:t>
      </w:r>
      <w:r>
        <w:rPr>
          <w:rFonts w:hint="eastAsia" w:ascii="仿宋" w:hAnsi="仿宋" w:eastAsia="仿宋"/>
          <w:sz w:val="32"/>
          <w:szCs w:val="32"/>
        </w:rPr>
        <w:t>数据完整度系数的定义：某项指标全国数据上报完整度为</w:t>
      </w:r>
      <w:r>
        <w:rPr>
          <w:rFonts w:ascii="仿宋" w:hAnsi="仿宋" w:eastAsia="仿宋"/>
          <w:sz w:val="32"/>
          <w:szCs w:val="32"/>
        </w:rPr>
        <w:t>n%，n%即为数据完整度系数。</w:t>
      </w:r>
      <w:r>
        <w:rPr>
          <w:rFonts w:hint="eastAsia" w:ascii="仿宋" w:hAnsi="仿宋" w:eastAsia="仿宋"/>
          <w:sz w:val="32"/>
          <w:szCs w:val="32"/>
        </w:rPr>
        <w:t>试点评估相关质控指标见</w:t>
      </w:r>
      <w:r>
        <w:rPr>
          <w:rFonts w:hint="eastAsia" w:ascii="仿宋" w:hAnsi="仿宋" w:eastAsia="仿宋"/>
          <w:sz w:val="32"/>
          <w:szCs w:val="32"/>
          <w:lang w:val="en-US" w:eastAsia="zh-CN"/>
        </w:rPr>
        <w:t>附录1</w:t>
      </w:r>
      <w:r>
        <w:rPr>
          <w:rFonts w:hint="eastAsia" w:ascii="仿宋" w:hAnsi="仿宋" w:eastAsia="仿宋"/>
          <w:sz w:val="32"/>
          <w:szCs w:val="32"/>
        </w:rPr>
        <w:t>。</w:t>
      </w:r>
    </w:p>
    <w:p>
      <w:pPr>
        <w:keepNext w:val="0"/>
        <w:keepLines w:val="0"/>
        <w:pageBreakBefore w:val="0"/>
        <w:kinsoku/>
        <w:wordWrap/>
        <w:overflowPunct/>
        <w:topLinePunct w:val="0"/>
        <w:autoSpaceDE/>
        <w:autoSpaceDN/>
        <w:bidi w:val="0"/>
        <w:adjustRightInd/>
        <w:snapToGrid/>
        <w:spacing w:line="360" w:lineRule="auto"/>
        <w:ind w:firstLine="640" w:firstLineChars="200"/>
        <w:jc w:val="both"/>
        <w:textAlignment w:val="auto"/>
        <w:rPr>
          <w:rFonts w:ascii="仿宋" w:hAnsi="仿宋" w:eastAsia="仿宋"/>
          <w:sz w:val="32"/>
          <w:szCs w:val="32"/>
        </w:rPr>
      </w:pPr>
      <w:r>
        <w:rPr>
          <w:rFonts w:hint="eastAsia" w:ascii="仿宋" w:hAnsi="仿宋" w:eastAsia="仿宋"/>
          <w:sz w:val="32"/>
          <w:szCs w:val="32"/>
        </w:rPr>
        <w:t>2</w:t>
      </w:r>
      <w:r>
        <w:rPr>
          <w:rFonts w:hint="eastAsia" w:ascii="仿宋" w:hAnsi="仿宋" w:eastAsia="仿宋"/>
          <w:sz w:val="32"/>
          <w:szCs w:val="32"/>
          <w:lang w:eastAsia="zh-CN"/>
        </w:rPr>
        <w:t>）</w:t>
      </w:r>
      <w:r>
        <w:rPr>
          <w:rFonts w:ascii="仿宋" w:hAnsi="仿宋" w:eastAsia="仿宋"/>
          <w:sz w:val="32"/>
          <w:szCs w:val="32"/>
        </w:rPr>
        <w:t>各项指标得分相加为试点单位在</w:t>
      </w:r>
      <w:r>
        <w:rPr>
          <w:rFonts w:hint="eastAsia" w:ascii="仿宋" w:hAnsi="仿宋" w:eastAsia="仿宋"/>
          <w:sz w:val="32"/>
          <w:szCs w:val="32"/>
        </w:rPr>
        <w:t>建设期内</w:t>
      </w:r>
      <w:r>
        <w:rPr>
          <w:rFonts w:ascii="仿宋" w:hAnsi="仿宋" w:eastAsia="仿宋"/>
          <w:sz w:val="32"/>
          <w:szCs w:val="32"/>
        </w:rPr>
        <w:t>乳腺癌单病种</w:t>
      </w:r>
      <w:r>
        <w:rPr>
          <w:rFonts w:hint="eastAsia" w:ascii="仿宋" w:hAnsi="仿宋" w:eastAsia="仿宋"/>
          <w:sz w:val="32"/>
          <w:szCs w:val="32"/>
        </w:rPr>
        <w:t>质控指标数据结果考核</w:t>
      </w:r>
      <w:r>
        <w:rPr>
          <w:rFonts w:ascii="仿宋" w:hAnsi="仿宋" w:eastAsia="仿宋"/>
          <w:sz w:val="32"/>
          <w:szCs w:val="32"/>
        </w:rPr>
        <w:t>单元总得分。</w:t>
      </w:r>
      <w:r>
        <w:rPr>
          <w:rFonts w:hint="eastAsia" w:ascii="仿宋" w:hAnsi="仿宋" w:eastAsia="仿宋"/>
          <w:sz w:val="32"/>
          <w:szCs w:val="32"/>
          <w:lang w:val="en-US" w:eastAsia="zh-CN"/>
        </w:rPr>
        <w:t>10</w:t>
      </w:r>
      <w:r>
        <w:rPr>
          <w:rFonts w:hint="eastAsia" w:ascii="仿宋" w:hAnsi="仿宋" w:eastAsia="仿宋"/>
          <w:sz w:val="32"/>
          <w:szCs w:val="32"/>
        </w:rPr>
        <w:t>项指标得分相加后理论最高总分为</w:t>
      </w:r>
      <w:r>
        <w:rPr>
          <w:rFonts w:hint="eastAsia" w:ascii="仿宋" w:hAnsi="仿宋" w:eastAsia="仿宋"/>
          <w:sz w:val="32"/>
          <w:szCs w:val="32"/>
          <w:lang w:val="en-US" w:eastAsia="zh-CN"/>
        </w:rPr>
        <w:t>1</w:t>
      </w:r>
      <w:r>
        <w:rPr>
          <w:rFonts w:hint="eastAsia" w:ascii="仿宋" w:hAnsi="仿宋" w:eastAsia="仿宋"/>
          <w:sz w:val="32"/>
          <w:szCs w:val="32"/>
        </w:rPr>
        <w:t>00分。</w:t>
      </w:r>
    </w:p>
    <w:p>
      <w:pPr>
        <w:keepNext w:val="0"/>
        <w:keepLines w:val="0"/>
        <w:pageBreakBefore w:val="0"/>
        <w:kinsoku/>
        <w:wordWrap/>
        <w:overflowPunct/>
        <w:topLinePunct w:val="0"/>
        <w:autoSpaceDE/>
        <w:autoSpaceDN/>
        <w:bidi w:val="0"/>
        <w:adjustRightInd/>
        <w:snapToGrid/>
        <w:spacing w:line="360" w:lineRule="auto"/>
        <w:ind w:firstLine="640" w:firstLineChars="200"/>
        <w:jc w:val="left"/>
        <w:textAlignment w:val="auto"/>
        <w:rPr>
          <w:rFonts w:ascii="仿宋" w:hAnsi="仿宋" w:eastAsia="仿宋"/>
          <w:sz w:val="32"/>
          <w:szCs w:val="32"/>
        </w:rPr>
      </w:pPr>
      <w:r>
        <w:rPr>
          <w:rFonts w:hint="eastAsia" w:ascii="仿宋" w:hAnsi="仿宋" w:eastAsia="仿宋"/>
          <w:sz w:val="32"/>
          <w:szCs w:val="32"/>
        </w:rPr>
        <w:t>3</w:t>
      </w:r>
      <w:r>
        <w:rPr>
          <w:rFonts w:hint="eastAsia" w:ascii="仿宋" w:hAnsi="仿宋" w:eastAsia="仿宋"/>
          <w:sz w:val="32"/>
          <w:szCs w:val="32"/>
          <w:lang w:eastAsia="zh-CN"/>
        </w:rPr>
        <w:t>）</w:t>
      </w:r>
      <w:r>
        <w:rPr>
          <w:rFonts w:hint="eastAsia" w:ascii="仿宋" w:hAnsi="仿宋" w:eastAsia="仿宋"/>
          <w:sz w:val="32"/>
          <w:szCs w:val="32"/>
        </w:rPr>
        <w:t>要求</w:t>
      </w:r>
      <w:r>
        <w:rPr>
          <w:rFonts w:hint="eastAsia" w:ascii="仿宋" w:hAnsi="仿宋" w:eastAsia="仿宋"/>
          <w:sz w:val="32"/>
          <w:szCs w:val="32"/>
          <w:lang w:val="en-US" w:eastAsia="zh-CN"/>
        </w:rPr>
        <w:t>医院</w:t>
      </w:r>
      <w:r>
        <w:rPr>
          <w:rFonts w:hint="eastAsia" w:ascii="仿宋" w:hAnsi="仿宋" w:eastAsia="仿宋"/>
          <w:sz w:val="32"/>
          <w:szCs w:val="32"/>
        </w:rPr>
        <w:t>各项质控指标可纳入计算的病例量</w:t>
      </w:r>
      <w:r>
        <w:rPr>
          <w:rFonts w:ascii="仿宋" w:hAnsi="仿宋" w:eastAsia="仿宋"/>
          <w:sz w:val="32"/>
          <w:szCs w:val="32"/>
        </w:rPr>
        <w:t>&gt;20例，分母不足20例的指标不纳入排名范畴，该项目计0分。</w:t>
      </w:r>
    </w:p>
    <w:p>
      <w:pPr>
        <w:keepNext w:val="0"/>
        <w:keepLines w:val="0"/>
        <w:pageBreakBefore w:val="0"/>
        <w:kinsoku/>
        <w:wordWrap/>
        <w:overflowPunct/>
        <w:topLinePunct w:val="0"/>
        <w:autoSpaceDE/>
        <w:autoSpaceDN/>
        <w:bidi w:val="0"/>
        <w:adjustRightInd/>
        <w:snapToGrid/>
        <w:spacing w:line="360" w:lineRule="auto"/>
        <w:ind w:firstLine="320" w:firstLineChars="100"/>
        <w:textAlignment w:val="auto"/>
        <w:rPr>
          <w:rFonts w:hint="eastAsia" w:ascii="黑体" w:hAnsi="黑体" w:eastAsia="黑体"/>
          <w:sz w:val="32"/>
          <w:szCs w:val="32"/>
          <w:lang w:val="en-US" w:eastAsia="zh-CN"/>
        </w:rPr>
      </w:pPr>
      <w:r>
        <w:rPr>
          <w:rFonts w:hint="eastAsia" w:ascii="黑体" w:hAnsi="黑体" w:eastAsia="黑体"/>
          <w:sz w:val="32"/>
          <w:szCs w:val="32"/>
          <w:lang w:val="en-US" w:eastAsia="zh-CN"/>
        </w:rPr>
        <w:t>（二）</w:t>
      </w:r>
      <w:r>
        <w:rPr>
          <w:rFonts w:hint="eastAsia" w:ascii="黑体" w:hAnsi="黑体" w:eastAsia="黑体"/>
          <w:sz w:val="32"/>
          <w:szCs w:val="32"/>
        </w:rPr>
        <w:t>现场</w:t>
      </w:r>
      <w:r>
        <w:rPr>
          <w:rFonts w:hint="eastAsia" w:ascii="黑体" w:hAnsi="黑体" w:eastAsia="黑体"/>
          <w:sz w:val="32"/>
          <w:szCs w:val="32"/>
          <w:lang w:val="en-US" w:eastAsia="zh-CN"/>
        </w:rPr>
        <w:t>检查</w:t>
      </w:r>
      <w:r>
        <w:rPr>
          <w:rFonts w:hint="eastAsia" w:ascii="黑体" w:hAnsi="黑体" w:eastAsia="黑体"/>
          <w:sz w:val="32"/>
          <w:szCs w:val="32"/>
        </w:rPr>
        <w:t>情况评价</w:t>
      </w:r>
    </w:p>
    <w:p>
      <w:pPr>
        <w:keepNext w:val="0"/>
        <w:keepLines w:val="0"/>
        <w:pageBreakBefore w:val="0"/>
        <w:numPr>
          <w:ilvl w:val="0"/>
          <w:numId w:val="0"/>
        </w:numPr>
        <w:kinsoku/>
        <w:wordWrap/>
        <w:overflowPunct/>
        <w:topLinePunct w:val="0"/>
        <w:autoSpaceDE/>
        <w:autoSpaceDN/>
        <w:bidi w:val="0"/>
        <w:adjustRightInd/>
        <w:snapToGrid/>
        <w:spacing w:line="360" w:lineRule="auto"/>
        <w:ind w:firstLine="640" w:firstLineChars="200"/>
        <w:jc w:val="left"/>
        <w:textAlignment w:val="auto"/>
        <w:rPr>
          <w:rFonts w:ascii="仿宋" w:hAnsi="仿宋" w:eastAsia="仿宋"/>
          <w:sz w:val="32"/>
          <w:szCs w:val="32"/>
        </w:rPr>
      </w:pPr>
      <w:r>
        <w:rPr>
          <w:rFonts w:hint="eastAsia" w:ascii="仿宋" w:hAnsi="仿宋" w:eastAsia="仿宋"/>
          <w:sz w:val="32"/>
          <w:szCs w:val="32"/>
          <w:lang w:val="en-US" w:eastAsia="zh-CN"/>
        </w:rPr>
        <w:t>1.</w:t>
      </w:r>
      <w:r>
        <w:rPr>
          <w:rFonts w:hint="eastAsia" w:ascii="仿宋" w:hAnsi="仿宋" w:eastAsia="仿宋"/>
          <w:sz w:val="32"/>
          <w:szCs w:val="32"/>
        </w:rPr>
        <w:t>现场</w:t>
      </w:r>
      <w:r>
        <w:rPr>
          <w:rFonts w:hint="eastAsia" w:ascii="仿宋" w:hAnsi="仿宋" w:eastAsia="仿宋"/>
          <w:sz w:val="32"/>
          <w:szCs w:val="32"/>
          <w:lang w:val="en-US" w:eastAsia="zh-CN"/>
        </w:rPr>
        <w:t>检查</w:t>
      </w:r>
      <w:r>
        <w:rPr>
          <w:rFonts w:hint="eastAsia" w:ascii="仿宋" w:hAnsi="仿宋" w:eastAsia="仿宋"/>
          <w:sz w:val="32"/>
          <w:szCs w:val="32"/>
        </w:rPr>
        <w:t>情况评价是国家癌症中心</w:t>
      </w:r>
      <w:r>
        <w:rPr>
          <w:rFonts w:hint="eastAsia" w:ascii="仿宋" w:hAnsi="仿宋" w:eastAsia="仿宋"/>
          <w:sz w:val="32"/>
          <w:szCs w:val="32"/>
          <w:lang w:val="en-US" w:eastAsia="zh-CN"/>
        </w:rPr>
        <w:t>组织</w:t>
      </w:r>
      <w:r>
        <w:rPr>
          <w:rFonts w:hint="eastAsia" w:ascii="仿宋" w:hAnsi="仿宋" w:eastAsia="仿宋"/>
          <w:sz w:val="32"/>
          <w:szCs w:val="32"/>
        </w:rPr>
        <w:t>乳腺癌质控专家委员会</w:t>
      </w:r>
      <w:r>
        <w:rPr>
          <w:rFonts w:hint="eastAsia" w:ascii="仿宋" w:hAnsi="仿宋" w:eastAsia="仿宋"/>
          <w:sz w:val="32"/>
          <w:szCs w:val="32"/>
          <w:lang w:val="en-US" w:eastAsia="zh-CN"/>
        </w:rPr>
        <w:t>和</w:t>
      </w:r>
      <w:r>
        <w:rPr>
          <w:rFonts w:hint="eastAsia" w:ascii="仿宋" w:hAnsi="仿宋" w:eastAsia="仿宋"/>
          <w:sz w:val="32"/>
          <w:szCs w:val="32"/>
        </w:rPr>
        <w:t>各省级乳腺癌质控专家委员</w:t>
      </w:r>
      <w:r>
        <w:rPr>
          <w:rFonts w:hint="eastAsia" w:ascii="仿宋" w:hAnsi="仿宋" w:eastAsia="仿宋"/>
          <w:sz w:val="32"/>
          <w:szCs w:val="32"/>
          <w:lang w:val="en-US" w:eastAsia="zh-CN"/>
        </w:rPr>
        <w:t>对</w:t>
      </w:r>
      <w:r>
        <w:rPr>
          <w:rFonts w:hint="eastAsia" w:ascii="仿宋" w:hAnsi="仿宋" w:eastAsia="仿宋"/>
          <w:sz w:val="32"/>
          <w:szCs w:val="32"/>
        </w:rPr>
        <w:t>试点单位的现场质控</w:t>
      </w:r>
      <w:r>
        <w:rPr>
          <w:rFonts w:hint="eastAsia" w:ascii="仿宋" w:hAnsi="仿宋" w:eastAsia="仿宋"/>
          <w:sz w:val="32"/>
          <w:szCs w:val="32"/>
          <w:lang w:val="en-US" w:eastAsia="zh-CN"/>
        </w:rPr>
        <w:t>检查</w:t>
      </w:r>
      <w:r>
        <w:rPr>
          <w:rFonts w:hint="eastAsia" w:ascii="仿宋" w:hAnsi="仿宋" w:eastAsia="仿宋"/>
          <w:sz w:val="32"/>
          <w:szCs w:val="32"/>
        </w:rPr>
        <w:t>工作。</w:t>
      </w:r>
    </w:p>
    <w:p>
      <w:pPr>
        <w:keepNext w:val="0"/>
        <w:keepLines w:val="0"/>
        <w:pageBreakBefore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ascii="仿宋" w:hAnsi="仿宋" w:eastAsia="仿宋"/>
          <w:sz w:val="32"/>
          <w:szCs w:val="32"/>
        </w:rPr>
      </w:pPr>
      <w:r>
        <w:rPr>
          <w:rFonts w:hint="eastAsia" w:ascii="仿宋" w:hAnsi="仿宋" w:eastAsia="仿宋"/>
          <w:sz w:val="32"/>
          <w:szCs w:val="32"/>
          <w:lang w:val="en-US" w:eastAsia="zh-CN"/>
        </w:rPr>
        <w:t>2.</w:t>
      </w:r>
      <w:r>
        <w:rPr>
          <w:rFonts w:hint="eastAsia" w:ascii="仿宋" w:hAnsi="仿宋" w:eastAsia="仿宋"/>
          <w:sz w:val="32"/>
          <w:szCs w:val="32"/>
        </w:rPr>
        <w:t>各省级乳腺癌质控专委会需要</w:t>
      </w:r>
      <w:r>
        <w:rPr>
          <w:rFonts w:hint="eastAsia" w:ascii="仿宋" w:hAnsi="仿宋" w:eastAsia="仿宋"/>
          <w:sz w:val="32"/>
          <w:szCs w:val="32"/>
          <w:lang w:val="en-US" w:eastAsia="zh-CN"/>
        </w:rPr>
        <w:t>组织专家</w:t>
      </w:r>
      <w:r>
        <w:rPr>
          <w:rFonts w:hint="eastAsia" w:ascii="仿宋" w:hAnsi="仿宋" w:eastAsia="仿宋"/>
          <w:sz w:val="32"/>
          <w:szCs w:val="32"/>
        </w:rPr>
        <w:t>组对试点单位进行现场</w:t>
      </w:r>
      <w:r>
        <w:rPr>
          <w:rFonts w:hint="eastAsia" w:ascii="仿宋" w:hAnsi="仿宋" w:eastAsia="仿宋"/>
          <w:sz w:val="32"/>
          <w:szCs w:val="32"/>
          <w:lang w:val="en-US" w:eastAsia="zh-CN"/>
        </w:rPr>
        <w:t>检查</w:t>
      </w:r>
      <w:r>
        <w:rPr>
          <w:rFonts w:hint="eastAsia" w:ascii="仿宋" w:hAnsi="仿宋" w:eastAsia="仿宋"/>
          <w:sz w:val="32"/>
          <w:szCs w:val="32"/>
        </w:rPr>
        <w:t>。各</w:t>
      </w:r>
      <w:r>
        <w:rPr>
          <w:rFonts w:hint="eastAsia" w:ascii="仿宋" w:hAnsi="仿宋" w:eastAsia="仿宋"/>
          <w:sz w:val="32"/>
          <w:szCs w:val="32"/>
          <w:lang w:val="en-US" w:eastAsia="zh-CN"/>
        </w:rPr>
        <w:t>专家</w:t>
      </w:r>
      <w:r>
        <w:rPr>
          <w:rFonts w:hint="eastAsia" w:ascii="仿宋" w:hAnsi="仿宋" w:eastAsia="仿宋"/>
          <w:sz w:val="32"/>
          <w:szCs w:val="32"/>
        </w:rPr>
        <w:t>组原则上不少于5人，组成要求为至少包括外科1人，内科或放疗1人，影像或病理1人。</w:t>
      </w:r>
    </w:p>
    <w:p>
      <w:pPr>
        <w:keepNext w:val="0"/>
        <w:keepLines w:val="0"/>
        <w:pageBreakBefore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ascii="仿宋" w:hAnsi="仿宋" w:eastAsia="仿宋"/>
          <w:sz w:val="32"/>
          <w:szCs w:val="32"/>
        </w:rPr>
      </w:pPr>
      <w:r>
        <w:rPr>
          <w:rFonts w:hint="eastAsia" w:ascii="仿宋" w:hAnsi="仿宋" w:eastAsia="仿宋"/>
          <w:sz w:val="32"/>
          <w:szCs w:val="32"/>
          <w:lang w:val="en-US" w:eastAsia="zh-CN"/>
        </w:rPr>
        <w:t>3.</w:t>
      </w:r>
      <w:r>
        <w:rPr>
          <w:rFonts w:hint="eastAsia" w:ascii="仿宋" w:hAnsi="仿宋" w:eastAsia="仿宋"/>
          <w:sz w:val="32"/>
          <w:szCs w:val="32"/>
          <w:lang w:eastAsia="zh-CN"/>
        </w:rPr>
        <w:t>专家组</w:t>
      </w:r>
      <w:r>
        <w:rPr>
          <w:rFonts w:hint="eastAsia" w:ascii="仿宋" w:hAnsi="仿宋" w:eastAsia="仿宋"/>
          <w:sz w:val="32"/>
          <w:szCs w:val="32"/>
        </w:rPr>
        <w:t>通过现场巡视和病例抽查两种方式进行，并根据</w:t>
      </w:r>
      <w:r>
        <w:rPr>
          <w:rFonts w:hint="eastAsia" w:ascii="仿宋" w:hAnsi="仿宋" w:eastAsia="仿宋"/>
          <w:sz w:val="32"/>
          <w:szCs w:val="32"/>
          <w:lang w:val="en-US" w:eastAsia="zh-CN"/>
        </w:rPr>
        <w:t>检查</w:t>
      </w:r>
      <w:r>
        <w:rPr>
          <w:rFonts w:hint="eastAsia" w:ascii="仿宋" w:hAnsi="仿宋" w:eastAsia="仿宋"/>
          <w:sz w:val="32"/>
          <w:szCs w:val="32"/>
        </w:rPr>
        <w:t>表内容对试点单位进行现场打分，各</w:t>
      </w:r>
      <w:r>
        <w:rPr>
          <w:rFonts w:hint="eastAsia" w:ascii="仿宋" w:hAnsi="仿宋" w:eastAsia="仿宋"/>
          <w:sz w:val="32"/>
          <w:szCs w:val="32"/>
          <w:lang w:eastAsia="zh-CN"/>
        </w:rPr>
        <w:t>专家组</w:t>
      </w:r>
      <w:r>
        <w:rPr>
          <w:rFonts w:hint="eastAsia" w:ascii="仿宋" w:hAnsi="仿宋" w:eastAsia="仿宋"/>
          <w:sz w:val="32"/>
          <w:szCs w:val="32"/>
        </w:rPr>
        <w:t>成员打分的平均分，为现场</w:t>
      </w:r>
      <w:r>
        <w:rPr>
          <w:rFonts w:hint="eastAsia" w:ascii="仿宋" w:hAnsi="仿宋" w:eastAsia="仿宋"/>
          <w:sz w:val="32"/>
          <w:szCs w:val="32"/>
          <w:lang w:val="en-US" w:eastAsia="zh-CN"/>
        </w:rPr>
        <w:t>检查</w:t>
      </w:r>
      <w:r>
        <w:rPr>
          <w:rFonts w:hint="eastAsia" w:ascii="仿宋" w:hAnsi="仿宋" w:eastAsia="仿宋"/>
          <w:sz w:val="32"/>
          <w:szCs w:val="32"/>
        </w:rPr>
        <w:t>最终得分。现场巡视和病例抽查各计100分，总分为200分。现场</w:t>
      </w:r>
      <w:r>
        <w:rPr>
          <w:rFonts w:hint="eastAsia" w:ascii="仿宋" w:hAnsi="仿宋" w:eastAsia="仿宋"/>
          <w:sz w:val="32"/>
          <w:szCs w:val="32"/>
          <w:lang w:val="en-US" w:eastAsia="zh-CN"/>
        </w:rPr>
        <w:t>检查</w:t>
      </w:r>
      <w:r>
        <w:rPr>
          <w:rFonts w:hint="eastAsia" w:ascii="仿宋" w:hAnsi="仿宋" w:eastAsia="仿宋"/>
          <w:sz w:val="32"/>
          <w:szCs w:val="32"/>
        </w:rPr>
        <w:t>表见</w:t>
      </w:r>
      <w:r>
        <w:rPr>
          <w:rFonts w:hint="eastAsia" w:ascii="仿宋" w:hAnsi="仿宋" w:eastAsia="仿宋"/>
          <w:sz w:val="32"/>
          <w:szCs w:val="32"/>
          <w:lang w:val="en-US" w:eastAsia="zh-CN"/>
        </w:rPr>
        <w:t>附录2</w:t>
      </w:r>
      <w:r>
        <w:rPr>
          <w:rFonts w:hint="eastAsia" w:ascii="仿宋" w:hAnsi="仿宋" w:eastAsia="仿宋"/>
          <w:sz w:val="32"/>
          <w:szCs w:val="32"/>
        </w:rPr>
        <w:t>。</w:t>
      </w:r>
    </w:p>
    <w:p>
      <w:pPr>
        <w:keepNext w:val="0"/>
        <w:keepLines w:val="0"/>
        <w:pageBreakBefore w:val="0"/>
        <w:numPr>
          <w:ilvl w:val="0"/>
          <w:numId w:val="0"/>
        </w:numPr>
        <w:kinsoku/>
        <w:wordWrap/>
        <w:overflowPunct/>
        <w:topLinePunct w:val="0"/>
        <w:autoSpaceDE/>
        <w:autoSpaceDN/>
        <w:bidi w:val="0"/>
        <w:adjustRightInd/>
        <w:snapToGrid/>
        <w:spacing w:line="360" w:lineRule="auto"/>
        <w:ind w:firstLine="640" w:firstLineChars="200"/>
        <w:jc w:val="both"/>
        <w:textAlignment w:val="auto"/>
        <w:rPr>
          <w:rFonts w:hint="default" w:ascii="仿宋" w:hAnsi="仿宋" w:eastAsia="仿宋"/>
          <w:sz w:val="32"/>
          <w:szCs w:val="32"/>
          <w:lang w:val="en-US" w:eastAsia="zh-CN"/>
        </w:rPr>
      </w:pPr>
      <w:r>
        <w:rPr>
          <w:rFonts w:hint="eastAsia" w:ascii="仿宋" w:hAnsi="仿宋" w:eastAsia="仿宋"/>
          <w:sz w:val="32"/>
          <w:szCs w:val="32"/>
          <w:lang w:val="en-US" w:eastAsia="zh-CN"/>
        </w:rPr>
        <w:t>4.</w:t>
      </w:r>
      <w:r>
        <w:rPr>
          <w:rFonts w:hint="eastAsia" w:ascii="仿宋" w:hAnsi="仿宋" w:eastAsia="仿宋"/>
          <w:sz w:val="32"/>
          <w:szCs w:val="32"/>
        </w:rPr>
        <w:t>对抽查病例的要求如下：病例年限要求就诊时间为2021年1月至2022年12月，</w:t>
      </w:r>
      <w:r>
        <w:rPr>
          <w:rFonts w:hint="eastAsia" w:ascii="仿宋" w:hAnsi="仿宋" w:eastAsia="仿宋"/>
          <w:sz w:val="32"/>
          <w:szCs w:val="32"/>
          <w:lang w:val="en-US" w:eastAsia="zh-CN"/>
        </w:rPr>
        <w:t>每月1份，共计24份</w:t>
      </w:r>
      <w:r>
        <w:rPr>
          <w:rFonts w:hint="eastAsia" w:ascii="仿宋" w:hAnsi="仿宋" w:eastAsia="仿宋"/>
          <w:sz w:val="32"/>
          <w:szCs w:val="32"/>
        </w:rPr>
        <w:t>已存档的初诊病例，要求</w:t>
      </w:r>
      <w:r>
        <w:rPr>
          <w:rFonts w:hint="eastAsia" w:ascii="仿宋" w:hAnsi="仿宋" w:eastAsia="仿宋"/>
          <w:sz w:val="32"/>
          <w:szCs w:val="32"/>
          <w:lang w:val="en-US" w:eastAsia="zh-CN"/>
        </w:rPr>
        <w:t>包含</w:t>
      </w:r>
      <w:r>
        <w:rPr>
          <w:rFonts w:hint="eastAsia" w:ascii="仿宋" w:hAnsi="仿宋" w:eastAsia="仿宋"/>
          <w:sz w:val="32"/>
          <w:szCs w:val="32"/>
        </w:rPr>
        <w:t>手术</w:t>
      </w:r>
      <w:r>
        <w:rPr>
          <w:rFonts w:hint="eastAsia" w:ascii="仿宋" w:hAnsi="仿宋" w:eastAsia="仿宋"/>
          <w:sz w:val="32"/>
          <w:szCs w:val="32"/>
          <w:lang w:eastAsia="zh-CN"/>
        </w:rPr>
        <w:t>、</w:t>
      </w:r>
      <w:r>
        <w:rPr>
          <w:rFonts w:hint="eastAsia" w:ascii="仿宋" w:hAnsi="仿宋" w:eastAsia="仿宋"/>
          <w:sz w:val="32"/>
          <w:szCs w:val="32"/>
        </w:rPr>
        <w:t>化疗</w:t>
      </w:r>
      <w:r>
        <w:rPr>
          <w:rFonts w:hint="eastAsia" w:ascii="仿宋" w:hAnsi="仿宋" w:eastAsia="仿宋"/>
          <w:sz w:val="32"/>
          <w:szCs w:val="32"/>
          <w:lang w:eastAsia="zh-CN"/>
        </w:rPr>
        <w:t>、</w:t>
      </w:r>
      <w:r>
        <w:rPr>
          <w:rFonts w:hint="eastAsia" w:ascii="仿宋" w:hAnsi="仿宋" w:eastAsia="仿宋"/>
          <w:sz w:val="32"/>
          <w:szCs w:val="32"/>
        </w:rPr>
        <w:t>放疗</w:t>
      </w:r>
      <w:r>
        <w:rPr>
          <w:rFonts w:hint="eastAsia" w:ascii="仿宋" w:hAnsi="仿宋" w:eastAsia="仿宋"/>
          <w:sz w:val="32"/>
          <w:szCs w:val="32"/>
          <w:lang w:val="en-US" w:eastAsia="zh-CN"/>
        </w:rPr>
        <w:t>等多种治疗方式。</w:t>
      </w:r>
    </w:p>
    <w:p>
      <w:pPr>
        <w:keepNext w:val="0"/>
        <w:keepLines w:val="0"/>
        <w:pageBreakBefore w:val="0"/>
        <w:kinsoku/>
        <w:wordWrap/>
        <w:overflowPunct/>
        <w:topLinePunct w:val="0"/>
        <w:autoSpaceDE/>
        <w:autoSpaceDN/>
        <w:bidi w:val="0"/>
        <w:adjustRightInd/>
        <w:snapToGrid/>
        <w:spacing w:line="360" w:lineRule="auto"/>
        <w:ind w:firstLine="567"/>
        <w:textAlignment w:val="auto"/>
        <w:rPr>
          <w:rFonts w:hint="eastAsia" w:ascii="黑体" w:hAnsi="黑体" w:eastAsia="黑体"/>
          <w:sz w:val="32"/>
          <w:szCs w:val="32"/>
        </w:rPr>
      </w:pPr>
      <w:r>
        <w:rPr>
          <w:rFonts w:hint="eastAsia" w:ascii="黑体" w:hAnsi="黑体" w:eastAsia="黑体"/>
          <w:sz w:val="32"/>
          <w:szCs w:val="32"/>
          <w:lang w:val="en-US" w:eastAsia="zh-CN"/>
        </w:rPr>
        <w:t>（三）</w:t>
      </w:r>
      <w:r>
        <w:rPr>
          <w:rFonts w:hint="eastAsia" w:ascii="黑体" w:hAnsi="黑体" w:eastAsia="黑体"/>
          <w:sz w:val="32"/>
          <w:szCs w:val="32"/>
        </w:rPr>
        <w:t>能力建设加分项</w:t>
      </w:r>
    </w:p>
    <w:p>
      <w:pPr>
        <w:keepNext w:val="0"/>
        <w:keepLines w:val="0"/>
        <w:pageBreakBefore w:val="0"/>
        <w:kinsoku/>
        <w:wordWrap/>
        <w:overflowPunct/>
        <w:topLinePunct w:val="0"/>
        <w:autoSpaceDE/>
        <w:autoSpaceDN/>
        <w:bidi w:val="0"/>
        <w:adjustRightInd/>
        <w:snapToGrid/>
        <w:spacing w:line="360" w:lineRule="auto"/>
        <w:ind w:left="0" w:leftChars="0" w:firstLine="736" w:firstLineChars="230"/>
        <w:jc w:val="both"/>
        <w:textAlignment w:val="auto"/>
        <w:rPr>
          <w:rFonts w:hint="eastAsia" w:ascii="仿宋" w:hAnsi="仿宋" w:eastAsia="仿宋" w:cs="仿宋"/>
          <w:sz w:val="32"/>
          <w:szCs w:val="32"/>
        </w:rPr>
      </w:pPr>
      <w:r>
        <w:rPr>
          <w:rFonts w:hint="eastAsia" w:ascii="仿宋" w:hAnsi="仿宋" w:eastAsia="仿宋" w:cs="仿宋"/>
          <w:color w:val="000000"/>
          <w:kern w:val="0"/>
          <w:sz w:val="32"/>
          <w:szCs w:val="32"/>
          <w:lang w:val="en-US" w:eastAsia="zh-CN" w:bidi="ar"/>
        </w:rPr>
        <w:t>1.</w:t>
      </w:r>
      <w:r>
        <w:rPr>
          <w:rFonts w:hint="eastAsia" w:ascii="仿宋" w:hAnsi="仿宋" w:eastAsia="仿宋" w:cs="仿宋"/>
          <w:sz w:val="32"/>
          <w:szCs w:val="32"/>
        </w:rPr>
        <w:t>能力建设加分项是指试点单位参加乳腺癌质控专家委员会发起的乳腺癌能力建设项目后，可在本次考核中获得相应加分奖励。乳腺癌能力建设项目包括但不限于试点建设及评估期内所举办的科普大赛、MDT大赛、病理诊断能力验证计划等。</w:t>
      </w:r>
    </w:p>
    <w:p>
      <w:pPr>
        <w:keepNext w:val="0"/>
        <w:keepLines w:val="0"/>
        <w:pageBreakBefore w:val="0"/>
        <w:kinsoku/>
        <w:wordWrap/>
        <w:overflowPunct/>
        <w:topLinePunct w:val="0"/>
        <w:autoSpaceDE/>
        <w:autoSpaceDN/>
        <w:bidi w:val="0"/>
        <w:adjustRightInd/>
        <w:snapToGrid/>
        <w:spacing w:line="360" w:lineRule="auto"/>
        <w:ind w:left="0" w:leftChars="0" w:firstLine="736" w:firstLineChars="230"/>
        <w:jc w:val="both"/>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每项加分项满分10分，按参与情况及最终成绩获得相应加分，五档加分设置，依次为一等奖 10分，二等奖8分，三等奖6分，优胜奖4分，参与奖2分。如若乳腺癌能力建设项目未按5个等级划分，则按照相应奖项等级套用加分原则。</w:t>
      </w:r>
    </w:p>
    <w:p>
      <w:pPr>
        <w:keepNext w:val="0"/>
        <w:keepLines w:val="0"/>
        <w:pageBreakBefore w:val="0"/>
        <w:kinsoku/>
        <w:wordWrap/>
        <w:overflowPunct/>
        <w:topLinePunct w:val="0"/>
        <w:autoSpaceDE/>
        <w:autoSpaceDN/>
        <w:bidi w:val="0"/>
        <w:adjustRightInd/>
        <w:snapToGrid/>
        <w:spacing w:line="360" w:lineRule="auto"/>
        <w:ind w:left="0" w:leftChars="0" w:firstLine="736" w:firstLineChars="230"/>
        <w:jc w:val="left"/>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所有能力建设活动加分项总和为试点单位本年度参加乳腺癌五大能力建设活动获得的加分。</w:t>
      </w:r>
    </w:p>
    <w:p>
      <w:pPr>
        <w:keepNext w:val="0"/>
        <w:keepLines w:val="0"/>
        <w:pageBreakBefore w:val="0"/>
        <w:kinsoku/>
        <w:wordWrap/>
        <w:overflowPunct/>
        <w:topLinePunct w:val="0"/>
        <w:autoSpaceDE/>
        <w:autoSpaceDN/>
        <w:bidi w:val="0"/>
        <w:adjustRightInd/>
        <w:snapToGrid/>
        <w:spacing w:line="360" w:lineRule="auto"/>
        <w:ind w:firstLine="567"/>
        <w:textAlignment w:val="auto"/>
        <w:rPr>
          <w:rFonts w:ascii="仿宋" w:hAnsi="仿宋" w:eastAsia="仿宋"/>
          <w:sz w:val="28"/>
          <w:szCs w:val="32"/>
        </w:rPr>
      </w:pPr>
    </w:p>
    <w:p>
      <w:pPr>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eastAsia" w:eastAsia="仿宋"/>
          <w:sz w:val="32"/>
          <w:szCs w:val="32"/>
        </w:rPr>
      </w:pPr>
      <w:r>
        <w:rPr>
          <w:rFonts w:hint="eastAsia" w:eastAsia="仿宋"/>
          <w:sz w:val="32"/>
          <w:szCs w:val="32"/>
        </w:rPr>
        <w:t>附</w:t>
      </w:r>
      <w:r>
        <w:rPr>
          <w:rFonts w:hint="eastAsia" w:eastAsia="仿宋"/>
          <w:sz w:val="32"/>
          <w:szCs w:val="32"/>
          <w:lang w:val="en-US" w:eastAsia="zh-CN"/>
        </w:rPr>
        <w:t>录</w:t>
      </w:r>
      <w:r>
        <w:rPr>
          <w:rFonts w:hint="eastAsia" w:eastAsia="仿宋"/>
          <w:sz w:val="32"/>
          <w:szCs w:val="32"/>
        </w:rPr>
        <w:t>：1.乳腺癌规范诊疗质量控制试点评估相关质控指标</w:t>
      </w:r>
    </w:p>
    <w:p>
      <w:pPr>
        <w:keepNext w:val="0"/>
        <w:keepLines w:val="0"/>
        <w:pageBreakBefore w:val="0"/>
        <w:kinsoku/>
        <w:wordWrap/>
        <w:overflowPunct/>
        <w:topLinePunct w:val="0"/>
        <w:autoSpaceDE/>
        <w:autoSpaceDN/>
        <w:bidi w:val="0"/>
        <w:adjustRightInd/>
        <w:snapToGrid/>
        <w:spacing w:line="360" w:lineRule="auto"/>
        <w:ind w:firstLine="640" w:firstLineChars="200"/>
        <w:textAlignment w:val="auto"/>
        <w:rPr>
          <w:rFonts w:hint="default" w:eastAsia="仿宋"/>
          <w:sz w:val="32"/>
          <w:szCs w:val="32"/>
          <w:lang w:val="en-US" w:eastAsia="zh-CN"/>
        </w:rPr>
      </w:pPr>
      <w:r>
        <w:rPr>
          <w:rFonts w:hint="eastAsia" w:eastAsia="仿宋"/>
          <w:sz w:val="32"/>
          <w:szCs w:val="32"/>
          <w:lang w:val="en-US" w:eastAsia="zh-CN"/>
        </w:rPr>
        <w:t xml:space="preserve">      2.乳腺癌规范诊疗质量控制试点评估现场检查表</w:t>
      </w:r>
    </w:p>
    <w:p>
      <w:pPr>
        <w:keepNext w:val="0"/>
        <w:keepLines w:val="0"/>
        <w:pageBreakBefore w:val="0"/>
        <w:kinsoku/>
        <w:wordWrap/>
        <w:overflowPunct/>
        <w:topLinePunct w:val="0"/>
        <w:autoSpaceDE/>
        <w:autoSpaceDN/>
        <w:bidi w:val="0"/>
        <w:adjustRightInd/>
        <w:snapToGrid/>
        <w:spacing w:line="360" w:lineRule="auto"/>
        <w:rPr>
          <w:rFonts w:ascii="仿宋" w:hAnsi="仿宋" w:eastAsia="仿宋"/>
          <w:sz w:val="28"/>
          <w:szCs w:val="32"/>
        </w:rPr>
      </w:pPr>
      <w:r>
        <w:rPr>
          <w:rFonts w:ascii="仿宋" w:hAnsi="仿宋" w:eastAsia="仿宋"/>
          <w:sz w:val="28"/>
          <w:szCs w:val="32"/>
        </w:rPr>
        <w:br w:type="page"/>
      </w:r>
    </w:p>
    <w:p>
      <w:pPr>
        <w:keepNext w:val="0"/>
        <w:keepLines w:val="0"/>
        <w:pageBreakBefore w:val="0"/>
        <w:kinsoku/>
        <w:wordWrap/>
        <w:overflowPunct/>
        <w:topLinePunct w:val="0"/>
        <w:autoSpaceDE/>
        <w:autoSpaceDN/>
        <w:bidi w:val="0"/>
        <w:adjustRightInd/>
        <w:snapToGrid/>
        <w:spacing w:line="360" w:lineRule="auto"/>
        <w:jc w:val="left"/>
        <w:rPr>
          <w:rFonts w:hint="default" w:ascii="黑体" w:hAnsi="黑体" w:eastAsia="黑体"/>
          <w:sz w:val="32"/>
          <w:szCs w:val="32"/>
          <w:lang w:val="en-US"/>
        </w:rPr>
      </w:pPr>
      <w:r>
        <w:rPr>
          <w:rFonts w:hint="eastAsia" w:ascii="黑体" w:hAnsi="黑体" w:eastAsia="黑体"/>
          <w:sz w:val="32"/>
          <w:szCs w:val="32"/>
          <w:lang w:val="en-US" w:eastAsia="zh-CN"/>
        </w:rPr>
        <w:t>附录1</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黑体" w:hAnsi="黑体" w:eastAsia="黑体" w:cs="黑体"/>
          <w:bCs/>
          <w:sz w:val="44"/>
          <w:szCs w:val="48"/>
          <w:lang w:eastAsia="zh-CN"/>
        </w:rPr>
      </w:pPr>
      <w:r>
        <w:rPr>
          <w:rFonts w:hint="eastAsia" w:ascii="黑体" w:hAnsi="黑体" w:eastAsia="黑体" w:cs="黑体"/>
          <w:bCs/>
          <w:sz w:val="44"/>
          <w:szCs w:val="48"/>
          <w:lang w:eastAsia="zh-CN"/>
        </w:rPr>
        <w:t>乳腺癌规范诊疗质量控制试点评估</w:t>
      </w:r>
    </w:p>
    <w:p>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黑体" w:hAnsi="黑体" w:eastAsia="黑体" w:cs="黑体"/>
          <w:bCs/>
          <w:sz w:val="44"/>
          <w:szCs w:val="48"/>
          <w:lang w:eastAsia="zh-CN"/>
        </w:rPr>
      </w:pPr>
      <w:r>
        <w:rPr>
          <w:rFonts w:hint="eastAsia" w:ascii="黑体" w:hAnsi="黑体" w:eastAsia="黑体" w:cs="黑体"/>
          <w:bCs/>
          <w:sz w:val="44"/>
          <w:szCs w:val="48"/>
          <w:lang w:eastAsia="zh-CN"/>
        </w:rPr>
        <w:t>相关质控指标</w:t>
      </w:r>
    </w:p>
    <w:tbl>
      <w:tblPr>
        <w:tblStyle w:val="10"/>
        <w:tblW w:w="4885" w:type="pct"/>
        <w:jc w:val="center"/>
        <w:tblLayout w:type="fixed"/>
        <w:tblCellMar>
          <w:top w:w="0" w:type="dxa"/>
          <w:left w:w="0" w:type="dxa"/>
          <w:bottom w:w="0" w:type="dxa"/>
          <w:right w:w="0" w:type="dxa"/>
        </w:tblCellMar>
      </w:tblPr>
      <w:tblGrid>
        <w:gridCol w:w="3035"/>
        <w:gridCol w:w="5893"/>
      </w:tblGrid>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auto"/>
            <w:tcMar>
              <w:top w:w="79" w:type="dxa"/>
              <w:left w:w="147" w:type="dxa"/>
              <w:bottom w:w="79" w:type="dxa"/>
              <w:right w:w="14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rPr>
                <w:rFonts w:ascii="宋体" w:hAnsi="宋体" w:eastAsia="宋体" w:cs="宋体"/>
                <w:kern w:val="0"/>
                <w:szCs w:val="21"/>
              </w:rPr>
            </w:pPr>
            <w:r>
              <w:rPr>
                <w:rFonts w:hint="eastAsia" w:ascii="宋体" w:hAnsi="宋体" w:eastAsia="宋体" w:cs="宋体"/>
                <w:spacing w:val="12"/>
                <w:kern w:val="24"/>
                <w:szCs w:val="21"/>
              </w:rPr>
              <w:t>质控指标</w:t>
            </w:r>
          </w:p>
        </w:tc>
        <w:tc>
          <w:tcPr>
            <w:tcW w:w="3300" w:type="pct"/>
            <w:tcBorders>
              <w:top w:val="single" w:color="000000" w:sz="6" w:space="0"/>
              <w:left w:val="single" w:color="000000" w:sz="6" w:space="0"/>
              <w:bottom w:val="single" w:color="000000" w:sz="6" w:space="0"/>
              <w:right w:val="single" w:color="000000" w:sz="6" w:space="0"/>
            </w:tcBorders>
            <w:shd w:val="clear" w:color="auto" w:fill="auto"/>
            <w:tcMar>
              <w:top w:w="79" w:type="dxa"/>
              <w:left w:w="147" w:type="dxa"/>
              <w:bottom w:w="79" w:type="dxa"/>
              <w:right w:w="147" w:type="dxa"/>
            </w:tcMar>
            <w:vAlign w:val="center"/>
          </w:tcPr>
          <w:p>
            <w:pPr>
              <w:keepNext w:val="0"/>
              <w:keepLines w:val="0"/>
              <w:pageBreakBefore w:val="0"/>
              <w:widowControl/>
              <w:kinsoku/>
              <w:wordWrap/>
              <w:overflowPunct/>
              <w:topLinePunct w:val="0"/>
              <w:autoSpaceDE/>
              <w:autoSpaceDN/>
              <w:bidi w:val="0"/>
              <w:adjustRightInd/>
              <w:snapToGrid/>
              <w:spacing w:line="360" w:lineRule="auto"/>
              <w:jc w:val="center"/>
              <w:rPr>
                <w:rFonts w:ascii="宋体" w:hAnsi="宋体" w:eastAsia="宋体" w:cs="宋体"/>
                <w:kern w:val="0"/>
                <w:szCs w:val="21"/>
              </w:rPr>
            </w:pPr>
            <w:r>
              <w:rPr>
                <w:rFonts w:hint="eastAsia" w:ascii="宋体" w:hAnsi="宋体" w:eastAsia="宋体" w:cs="宋体"/>
                <w:spacing w:val="12"/>
                <w:kern w:val="24"/>
                <w:szCs w:val="21"/>
              </w:rPr>
              <w:t>计算公式</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1、乳腺癌患者首次治疗前完成临床TNM分期诊断率</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(乳腺癌患者首次治疗前完成临床TNM分期诊断的病例数)/(同期接受首次治疗的乳腺癌患者病例数)×100%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2、乳腺癌患者首次治疗前完成临床TNM分期检查评估率</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(乳腺癌患者首次治疗前完成临床TNM分期检查评估的病例数)/(同期接受首次治疗的乳腺癌患者病例数)×100%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3、乳腺癌患者抗肿瘤药物治疗前病理学诊断率</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(乳腺癌抗肿瘤药物治疗前完成病理学诊断病例数)/(同期接受首次抗肿瘤药物治疗的乳腺癌患者病例数)×100%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4、乳腺癌患者术后病理报告完整率</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(乳腺癌术后病理报告完整的病例数)/(同期乳腺癌手术有病理报告的患者病例数)×100%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cs="宋体"/>
                <w:szCs w:val="21"/>
                <w:lang w:val="en-US" w:eastAsia="zh-CN"/>
              </w:rPr>
              <w:t>5</w:t>
            </w:r>
            <w:r>
              <w:rPr>
                <w:rFonts w:hint="eastAsia" w:ascii="宋体" w:hAnsi="宋体" w:eastAsia="宋体" w:cs="宋体"/>
                <w:szCs w:val="21"/>
              </w:rPr>
              <w:t>、乳腺癌术后接受辅助内分泌治疗患者激素受体阳性患者比例</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(乳腺癌术后激素受体阳性并接受内分泌治疗的病例数)/(同期乳腺癌术后接受辅助内分泌治疗病例数)×100%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cs="宋体"/>
                <w:szCs w:val="21"/>
                <w:lang w:val="en-US" w:eastAsia="zh-CN"/>
              </w:rPr>
              <w:t>6</w:t>
            </w:r>
            <w:r>
              <w:rPr>
                <w:rFonts w:hint="eastAsia" w:ascii="宋体" w:hAnsi="宋体" w:eastAsia="宋体" w:cs="宋体"/>
                <w:szCs w:val="21"/>
              </w:rPr>
              <w:t>、乳腺癌接受抗HER-2靶向治疗的患者中HER-2阳性患者比例</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(HER-2阳性患者接受HER-2靶向治疗病例数)/(同期接受HER-2靶向治疗的乳腺癌病例数)×100%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cs="宋体"/>
                <w:szCs w:val="21"/>
                <w:lang w:val="en-US" w:eastAsia="zh-CN"/>
              </w:rPr>
              <w:t>7</w:t>
            </w:r>
            <w:r>
              <w:rPr>
                <w:rFonts w:hint="eastAsia" w:ascii="宋体" w:hAnsi="宋体" w:eastAsia="宋体" w:cs="宋体"/>
                <w:szCs w:val="21"/>
              </w:rPr>
              <w:t>、腋窝淋巴结清扫数量为10个以上比例</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(乳腺癌患者术中清扫腋窝淋巴结数量为10个以上的病例数)/(乳腺癌患者术中行腋窝淋巴结清扫的病例数)×100%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cs="宋体"/>
                <w:szCs w:val="21"/>
                <w:lang w:val="en-US" w:eastAsia="zh-CN"/>
              </w:rPr>
              <w:t>8</w:t>
            </w:r>
            <w:r>
              <w:rPr>
                <w:rFonts w:hint="eastAsia" w:ascii="宋体" w:hAnsi="宋体" w:eastAsia="宋体" w:cs="宋体"/>
                <w:szCs w:val="21"/>
              </w:rPr>
              <w:t>、乳腺癌患者首次治疗前超声诊断符合率</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(乳腺癌患者首次治疗前超声诊断为BI-RADS 4类及以上的病例数)/(病理确诊乳腺癌患者病例数)×100%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cs="宋体"/>
                <w:szCs w:val="21"/>
                <w:lang w:val="en-US" w:eastAsia="zh-CN"/>
              </w:rPr>
              <w:t>9</w:t>
            </w:r>
            <w:r>
              <w:rPr>
                <w:rFonts w:hint="eastAsia" w:ascii="宋体" w:hAnsi="宋体" w:eastAsia="宋体" w:cs="宋体"/>
                <w:szCs w:val="21"/>
              </w:rPr>
              <w:t>、乳腺癌患者首次治疗前乳腺X线诊断符合率</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(乳腺癌患者首次治疗前乳腺X线诊断为BI-RADS 4类及以上的病例数)/(病理确诊乳腺癌患者病例数)×100%</w:t>
            </w:r>
          </w:p>
        </w:tc>
      </w:tr>
      <w:tr>
        <w:tblPrEx>
          <w:tblCellMar>
            <w:top w:w="0" w:type="dxa"/>
            <w:left w:w="0" w:type="dxa"/>
            <w:bottom w:w="0" w:type="dxa"/>
            <w:right w:w="0" w:type="dxa"/>
          </w:tblCellMar>
        </w:tblPrEx>
        <w:trPr>
          <w:trHeight w:val="90" w:hRule="atLeast"/>
          <w:jc w:val="center"/>
        </w:trPr>
        <w:tc>
          <w:tcPr>
            <w:tcW w:w="1699"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1</w:t>
            </w:r>
            <w:r>
              <w:rPr>
                <w:rFonts w:hint="eastAsia" w:ascii="宋体" w:hAnsi="宋体" w:cs="宋体"/>
                <w:szCs w:val="21"/>
                <w:lang w:val="en-US" w:eastAsia="zh-CN"/>
              </w:rPr>
              <w:t>0</w:t>
            </w:r>
            <w:r>
              <w:rPr>
                <w:rFonts w:hint="eastAsia" w:ascii="宋体" w:hAnsi="宋体" w:eastAsia="宋体" w:cs="宋体"/>
                <w:szCs w:val="21"/>
              </w:rPr>
              <w:t>、乳腺癌患者Ⅰ类切口手术部位感染率</w:t>
            </w:r>
          </w:p>
        </w:tc>
        <w:tc>
          <w:tcPr>
            <w:tcW w:w="3300" w:type="pct"/>
            <w:tcBorders>
              <w:top w:val="single" w:color="000000" w:sz="6" w:space="0"/>
              <w:left w:val="single" w:color="000000" w:sz="6" w:space="0"/>
              <w:bottom w:val="single" w:color="000000" w:sz="6" w:space="0"/>
              <w:right w:val="single" w:color="000000" w:sz="6" w:space="0"/>
            </w:tcBorders>
            <w:shd w:val="clear" w:color="auto" w:fill="FFFFFF"/>
            <w:tcMar>
              <w:top w:w="79" w:type="dxa"/>
              <w:left w:w="147" w:type="dxa"/>
              <w:bottom w:w="79" w:type="dxa"/>
              <w:right w:w="147" w:type="dxa"/>
            </w:tcMar>
            <w:vAlign w:val="center"/>
          </w:tcPr>
          <w:p>
            <w:pPr>
              <w:keepNext w:val="0"/>
              <w:keepLines w:val="0"/>
              <w:pageBreakBefore w:val="0"/>
              <w:kinsoku/>
              <w:wordWrap/>
              <w:overflowPunct/>
              <w:topLinePunct w:val="0"/>
              <w:autoSpaceDE/>
              <w:autoSpaceDN/>
              <w:bidi w:val="0"/>
              <w:adjustRightInd/>
              <w:snapToGrid/>
              <w:spacing w:line="360" w:lineRule="auto"/>
              <w:rPr>
                <w:rFonts w:ascii="宋体" w:hAnsi="宋体" w:eastAsia="宋体" w:cs="宋体"/>
                <w:szCs w:val="21"/>
              </w:rPr>
            </w:pPr>
            <w:r>
              <w:rPr>
                <w:rFonts w:hint="eastAsia" w:ascii="宋体" w:hAnsi="宋体" w:eastAsia="宋体" w:cs="宋体"/>
                <w:szCs w:val="21"/>
              </w:rPr>
              <w:t>(乳腺癌手术Ⅰ类切口手术部位感染例数)/(同期乳腺癌手术Ⅰ类切口手术例数)×100%</w:t>
            </w:r>
          </w:p>
        </w:tc>
      </w:tr>
    </w:tbl>
    <w:p>
      <w:pPr>
        <w:keepNext w:val="0"/>
        <w:keepLines w:val="0"/>
        <w:pageBreakBefore w:val="0"/>
        <w:kinsoku/>
        <w:wordWrap/>
        <w:overflowPunct/>
        <w:topLinePunct w:val="0"/>
        <w:autoSpaceDE/>
        <w:autoSpaceDN/>
        <w:bidi w:val="0"/>
        <w:adjustRightInd/>
        <w:snapToGrid/>
        <w:spacing w:line="360" w:lineRule="auto"/>
        <w:rPr>
          <w:rFonts w:ascii="仿宋" w:hAnsi="仿宋" w:eastAsia="仿宋"/>
          <w:sz w:val="28"/>
          <w:szCs w:val="32"/>
        </w:rPr>
      </w:pPr>
      <w:r>
        <w:rPr>
          <w:rFonts w:ascii="仿宋" w:hAnsi="仿宋" w:eastAsia="仿宋"/>
          <w:sz w:val="28"/>
          <w:szCs w:val="32"/>
        </w:rPr>
        <w:br w:type="page"/>
      </w:r>
    </w:p>
    <w:p>
      <w:pPr>
        <w:keepNext w:val="0"/>
        <w:keepLines w:val="0"/>
        <w:pageBreakBefore w:val="0"/>
        <w:kinsoku/>
        <w:wordWrap/>
        <w:overflowPunct/>
        <w:topLinePunct w:val="0"/>
        <w:autoSpaceDE/>
        <w:autoSpaceDN/>
        <w:bidi w:val="0"/>
        <w:adjustRightInd/>
        <w:snapToGrid/>
        <w:spacing w:line="360" w:lineRule="auto"/>
        <w:jc w:val="left"/>
        <w:rPr>
          <w:rFonts w:hint="eastAsia" w:ascii="黑体" w:hAnsi="黑体" w:eastAsia="黑体"/>
          <w:sz w:val="32"/>
          <w:szCs w:val="32"/>
          <w:lang w:eastAsia="zh-CN"/>
        </w:rPr>
      </w:pPr>
      <w:r>
        <w:rPr>
          <w:rFonts w:hint="eastAsia" w:ascii="黑体" w:hAnsi="黑体" w:eastAsia="黑体"/>
          <w:sz w:val="32"/>
          <w:szCs w:val="32"/>
          <w:lang w:val="en-US" w:eastAsia="zh-CN"/>
        </w:rPr>
        <w:t>附录2</w:t>
      </w:r>
    </w:p>
    <w:p>
      <w:pPr>
        <w:keepNext w:val="0"/>
        <w:keepLines w:val="0"/>
        <w:pageBreakBefore w:val="0"/>
        <w:widowControl w:val="0"/>
        <w:kinsoku/>
        <w:wordWrap/>
        <w:overflowPunct/>
        <w:topLinePunct w:val="0"/>
        <w:autoSpaceDE/>
        <w:autoSpaceDN/>
        <w:bidi w:val="0"/>
        <w:adjustRightInd/>
        <w:snapToGrid/>
        <w:spacing w:line="360" w:lineRule="auto"/>
        <w:ind w:left="-416" w:leftChars="-198" w:right="-195" w:rightChars="-93" w:firstLine="216" w:firstLineChars="0"/>
        <w:jc w:val="center"/>
        <w:textAlignment w:val="auto"/>
        <w:outlineLvl w:val="1"/>
        <w:rPr>
          <w:rFonts w:hint="eastAsia" w:ascii="黑体" w:hAnsi="黑体" w:eastAsia="黑体" w:cs="黑体"/>
          <w:bCs/>
          <w:sz w:val="44"/>
          <w:szCs w:val="48"/>
          <w:lang w:eastAsia="zh-CN"/>
        </w:rPr>
      </w:pPr>
      <w:r>
        <w:rPr>
          <w:rFonts w:hint="eastAsia" w:ascii="黑体" w:hAnsi="黑体" w:eastAsia="黑体" w:cs="黑体"/>
          <w:bCs/>
          <w:sz w:val="44"/>
          <w:szCs w:val="48"/>
          <w:lang w:eastAsia="zh-CN"/>
        </w:rPr>
        <w:t>乳腺癌规范诊疗质量控制试点评估现场</w:t>
      </w:r>
      <w:r>
        <w:rPr>
          <w:rFonts w:hint="eastAsia" w:ascii="黑体" w:hAnsi="黑体" w:eastAsia="黑体" w:cs="黑体"/>
          <w:bCs/>
          <w:sz w:val="44"/>
          <w:szCs w:val="48"/>
          <w:lang w:val="en-US" w:eastAsia="zh-CN"/>
        </w:rPr>
        <w:t>检查</w:t>
      </w:r>
      <w:r>
        <w:rPr>
          <w:rFonts w:hint="eastAsia" w:ascii="黑体" w:hAnsi="黑体" w:eastAsia="黑体" w:cs="黑体"/>
          <w:bCs/>
          <w:sz w:val="44"/>
          <w:szCs w:val="48"/>
          <w:lang w:eastAsia="zh-CN"/>
        </w:rPr>
        <w:t>表1</w:t>
      </w:r>
    </w:p>
    <w:tbl>
      <w:tblPr>
        <w:tblStyle w:val="10"/>
        <w:tblpPr w:leftFromText="180" w:rightFromText="180" w:vertAnchor="text" w:horzAnchor="page" w:tblpX="911" w:tblpY="43"/>
        <w:tblOverlap w:val="never"/>
        <w:tblW w:w="10499" w:type="dxa"/>
        <w:tblInd w:w="0" w:type="dxa"/>
        <w:tblLayout w:type="fixed"/>
        <w:tblCellMar>
          <w:top w:w="0" w:type="dxa"/>
          <w:left w:w="108" w:type="dxa"/>
          <w:bottom w:w="0" w:type="dxa"/>
          <w:right w:w="108" w:type="dxa"/>
        </w:tblCellMar>
      </w:tblPr>
      <w:tblGrid>
        <w:gridCol w:w="1311"/>
        <w:gridCol w:w="524"/>
        <w:gridCol w:w="3228"/>
        <w:gridCol w:w="3528"/>
        <w:gridCol w:w="648"/>
        <w:gridCol w:w="628"/>
        <w:gridCol w:w="632"/>
      </w:tblGrid>
      <w:tr>
        <w:tblPrEx>
          <w:tblCellMar>
            <w:top w:w="0" w:type="dxa"/>
            <w:left w:w="108" w:type="dxa"/>
            <w:bottom w:w="0" w:type="dxa"/>
            <w:right w:w="108" w:type="dxa"/>
          </w:tblCellMar>
        </w:tblPrEx>
        <w:trPr>
          <w:trHeight w:val="377" w:hRule="atLeast"/>
        </w:trPr>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36" w:firstLineChars="62"/>
              <w:jc w:val="left"/>
              <w:textAlignment w:val="center"/>
              <w:rPr>
                <w:rFonts w:ascii="宋体" w:hAnsi="宋体" w:eastAsia="宋体" w:cs="宋体"/>
                <w:color w:val="000000"/>
                <w:sz w:val="22"/>
              </w:rPr>
            </w:pPr>
            <w:r>
              <w:rPr>
                <w:rFonts w:hint="eastAsia" w:ascii="宋体" w:hAnsi="宋体" w:eastAsia="宋体" w:cs="宋体"/>
                <w:color w:val="000000"/>
                <w:kern w:val="0"/>
                <w:sz w:val="22"/>
                <w:lang w:bidi="ar"/>
              </w:rPr>
              <w:t>医院名称</w:t>
            </w:r>
          </w:p>
        </w:tc>
        <w:tc>
          <w:tcPr>
            <w:tcW w:w="728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36" w:firstLineChars="62"/>
              <w:jc w:val="left"/>
              <w:rPr>
                <w:rFonts w:ascii="宋体" w:hAnsi="宋体" w:eastAsia="宋体" w:cs="宋体"/>
                <w:color w:val="000000"/>
                <w:sz w:val="22"/>
              </w:rPr>
            </w:pPr>
          </w:p>
        </w:tc>
        <w:tc>
          <w:tcPr>
            <w:tcW w:w="1908"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36" w:firstLineChars="62"/>
              <w:jc w:val="left"/>
              <w:textAlignment w:val="center"/>
              <w:rPr>
                <w:rFonts w:ascii="宋体" w:hAnsi="宋体" w:eastAsia="宋体" w:cs="宋体"/>
                <w:color w:val="000000"/>
                <w:sz w:val="22"/>
              </w:rPr>
            </w:pPr>
            <w:r>
              <w:rPr>
                <w:rFonts w:hint="eastAsia" w:ascii="宋体" w:hAnsi="宋体" w:cs="宋体"/>
                <w:color w:val="000000"/>
                <w:kern w:val="0"/>
                <w:sz w:val="22"/>
                <w:lang w:val="en-US" w:eastAsia="zh-CN" w:bidi="ar"/>
              </w:rPr>
              <w:t>检查</w:t>
            </w:r>
            <w:r>
              <w:rPr>
                <w:rFonts w:hint="eastAsia" w:ascii="宋体" w:hAnsi="宋体" w:eastAsia="宋体" w:cs="宋体"/>
                <w:color w:val="000000"/>
                <w:kern w:val="0"/>
                <w:sz w:val="22"/>
                <w:lang w:bidi="ar"/>
              </w:rPr>
              <w:t>日期：</w:t>
            </w:r>
          </w:p>
        </w:tc>
      </w:tr>
      <w:tr>
        <w:tblPrEx>
          <w:tblCellMar>
            <w:top w:w="0" w:type="dxa"/>
            <w:left w:w="108" w:type="dxa"/>
            <w:bottom w:w="0" w:type="dxa"/>
            <w:right w:w="108" w:type="dxa"/>
          </w:tblCellMar>
        </w:tblPrEx>
        <w:trPr>
          <w:trHeight w:val="377" w:hRule="atLeast"/>
        </w:trPr>
        <w:tc>
          <w:tcPr>
            <w:tcW w:w="506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37" w:firstLineChars="62"/>
              <w:jc w:val="center"/>
              <w:textAlignment w:val="center"/>
              <w:rPr>
                <w:rFonts w:ascii="宋体" w:hAnsi="宋体" w:eastAsia="宋体" w:cs="宋体"/>
                <w:b/>
                <w:bCs/>
                <w:color w:val="000000"/>
                <w:sz w:val="22"/>
              </w:rPr>
            </w:pPr>
            <w:r>
              <w:rPr>
                <w:rFonts w:hint="eastAsia" w:ascii="宋体" w:hAnsi="宋体" w:cs="宋体"/>
                <w:b/>
                <w:bCs/>
                <w:color w:val="000000"/>
                <w:kern w:val="0"/>
                <w:sz w:val="22"/>
                <w:lang w:val="en-US" w:eastAsia="zh-CN" w:bidi="ar"/>
              </w:rPr>
              <w:t>检查</w:t>
            </w:r>
            <w:r>
              <w:rPr>
                <w:rFonts w:hint="eastAsia" w:ascii="宋体" w:hAnsi="宋体" w:eastAsia="宋体" w:cs="宋体"/>
                <w:b/>
                <w:bCs/>
                <w:color w:val="000000"/>
                <w:kern w:val="0"/>
                <w:sz w:val="22"/>
                <w:lang w:bidi="ar"/>
              </w:rPr>
              <w:t>内容</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37" w:firstLineChars="62"/>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评分标准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37" w:firstLineChars="62"/>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分值</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37" w:firstLineChars="62"/>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得分</w:t>
            </w: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37" w:firstLineChars="62"/>
              <w:jc w:val="center"/>
              <w:textAlignment w:val="center"/>
              <w:rPr>
                <w:rFonts w:ascii="宋体" w:hAnsi="宋体" w:eastAsia="宋体" w:cs="宋体"/>
                <w:b/>
                <w:bCs/>
                <w:color w:val="000000"/>
                <w:sz w:val="22"/>
              </w:rPr>
            </w:pPr>
            <w:r>
              <w:rPr>
                <w:rFonts w:hint="eastAsia" w:ascii="宋体" w:hAnsi="宋体" w:eastAsia="宋体" w:cs="宋体"/>
                <w:b/>
                <w:bCs/>
                <w:color w:val="000000"/>
                <w:kern w:val="0"/>
                <w:sz w:val="22"/>
                <w:lang w:bidi="ar"/>
              </w:rPr>
              <w:t>备注</w:t>
            </w:r>
          </w:p>
        </w:tc>
      </w:tr>
      <w:tr>
        <w:tblPrEx>
          <w:tblCellMar>
            <w:top w:w="0" w:type="dxa"/>
            <w:left w:w="108" w:type="dxa"/>
            <w:bottom w:w="0" w:type="dxa"/>
            <w:right w:w="108" w:type="dxa"/>
          </w:tblCellMar>
        </w:tblPrEx>
        <w:trPr>
          <w:trHeight w:val="733" w:hRule="atLeast"/>
        </w:trPr>
        <w:tc>
          <w:tcPr>
            <w:tcW w:w="13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一、硬件及人员配置</w:t>
            </w: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病房环境及床旁等相关设置</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病房干净整洁，心电监护仪等完善10分，存在问题酌情扣分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1089" w:hRule="atLeast"/>
        </w:trPr>
        <w:tc>
          <w:tcPr>
            <w:tcW w:w="13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乳腺癌专科人员资质及职责（含专科护士、专科临床药师，职责分工、培训记录）</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专科人员配备齐全且临床药师参与诊疗工作，如医嘱审核等10分，相关人员缺失或无参与诊疗工作酌情扣分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733" w:hRule="atLeast"/>
        </w:trPr>
        <w:tc>
          <w:tcPr>
            <w:tcW w:w="1311"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二、医疗质量管理</w:t>
            </w: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乳腺癌单病种质控管理制度</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制度完善10分，不完善酌情扣分，无0分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733" w:hRule="atLeast"/>
        </w:trPr>
        <w:tc>
          <w:tcPr>
            <w:tcW w:w="1311"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是否组织乳腺癌临床治疗指南更新学习</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指南完善且及时更新，或有学习记录10分，不明确酌情扣分，无0分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1445" w:hRule="atLeast"/>
        </w:trPr>
        <w:tc>
          <w:tcPr>
            <w:tcW w:w="1311"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医疗安全相关及临床操作制度制度（包括医疗安全核心制度，药物不良反应报告制度，急诊处理规范及管理措施等）</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制度完善10分，不明确酌情扣分，无0分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1089" w:hRule="atLeast"/>
        </w:trPr>
        <w:tc>
          <w:tcPr>
            <w:tcW w:w="1311"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质控记录完善（包括质控小组名单及相关质控记录、职能部门质控</w:t>
            </w:r>
            <w:r>
              <w:rPr>
                <w:rFonts w:hint="eastAsia" w:ascii="宋体" w:hAnsi="宋体" w:cs="宋体"/>
                <w:color w:val="000000"/>
                <w:kern w:val="0"/>
                <w:sz w:val="20"/>
                <w:szCs w:val="20"/>
                <w:lang w:val="en-US" w:eastAsia="zh-CN" w:bidi="ar"/>
              </w:rPr>
              <w:t>检查</w:t>
            </w:r>
            <w:r>
              <w:rPr>
                <w:rFonts w:hint="eastAsia" w:ascii="宋体" w:hAnsi="宋体" w:eastAsia="宋体" w:cs="宋体"/>
                <w:color w:val="000000"/>
                <w:kern w:val="0"/>
                <w:sz w:val="20"/>
                <w:szCs w:val="20"/>
                <w:lang w:bidi="ar"/>
              </w:rPr>
              <w:t>记录等)</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质控记录完善10分，不明确酌情扣分，无0分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733" w:hRule="atLeast"/>
        </w:trPr>
        <w:tc>
          <w:tcPr>
            <w:tcW w:w="1311" w:type="dxa"/>
            <w:vMerge w:val="continue"/>
            <w:tcBorders>
              <w:top w:val="single" w:color="000000" w:sz="4" w:space="0"/>
              <w:left w:val="single" w:color="000000" w:sz="4" w:space="0"/>
              <w:bottom w:val="nil"/>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3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乳腺癌单病种临床路径执行情况</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执行路径完善明确10分，不明确酌情扣分，无0分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1089" w:hRule="atLeast"/>
        </w:trPr>
        <w:tc>
          <w:tcPr>
            <w:tcW w:w="13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三、影响力及规范打造</w:t>
            </w: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8</w:t>
            </w:r>
          </w:p>
        </w:tc>
        <w:tc>
          <w:tcPr>
            <w:tcW w:w="32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中心多学科综合诊疗（MDT）开展情况</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有MDT门诊，常规开展MDT讨论等10分，不完善酌情扣分，无任何MDT相关0分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733" w:hRule="atLeast"/>
        </w:trPr>
        <w:tc>
          <w:tcPr>
            <w:tcW w:w="13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w:t>
            </w:r>
          </w:p>
        </w:tc>
        <w:tc>
          <w:tcPr>
            <w:tcW w:w="3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中心科普开展情况</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开展乳腺癌筛查、诊断、治疗等科普，不完善酌情扣分</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377" w:hRule="atLeast"/>
        </w:trPr>
        <w:tc>
          <w:tcPr>
            <w:tcW w:w="13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c>
          <w:tcPr>
            <w:tcW w:w="5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32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 w:leftChars="-9" w:firstLine="18" w:firstLineChars="9"/>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中心学术声誉</w:t>
            </w:r>
          </w:p>
        </w:tc>
        <w:tc>
          <w:tcPr>
            <w:tcW w:w="35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7" w:leftChars="-8" w:firstLine="16" w:firstLineChars="8"/>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全国学术影响力评估</w:t>
            </w:r>
          </w:p>
        </w:tc>
        <w:tc>
          <w:tcPr>
            <w:tcW w:w="64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rPr>
                <w:rFonts w:ascii="宋体" w:hAnsi="宋体" w:eastAsia="宋体" w:cs="宋体"/>
                <w:color w:val="000000"/>
                <w:sz w:val="20"/>
                <w:szCs w:val="20"/>
              </w:rPr>
            </w:pPr>
          </w:p>
        </w:tc>
      </w:tr>
      <w:tr>
        <w:tblPrEx>
          <w:tblCellMar>
            <w:top w:w="0" w:type="dxa"/>
            <w:left w:w="108" w:type="dxa"/>
            <w:bottom w:w="0" w:type="dxa"/>
            <w:right w:w="108" w:type="dxa"/>
          </w:tblCellMar>
        </w:tblPrEx>
        <w:trPr>
          <w:trHeight w:val="377" w:hRule="atLeast"/>
        </w:trPr>
        <w:tc>
          <w:tcPr>
            <w:tcW w:w="9239"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合计得分</w:t>
            </w:r>
          </w:p>
        </w:tc>
        <w:tc>
          <w:tcPr>
            <w:tcW w:w="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c>
          <w:tcPr>
            <w:tcW w:w="6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377" w:hRule="atLeast"/>
        </w:trPr>
        <w:tc>
          <w:tcPr>
            <w:tcW w:w="131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专家签字：</w:t>
            </w:r>
          </w:p>
        </w:tc>
        <w:tc>
          <w:tcPr>
            <w:tcW w:w="918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left"/>
              <w:rPr>
                <w:rFonts w:ascii="宋体" w:hAnsi="宋体" w:eastAsia="宋体" w:cs="宋体"/>
                <w:color w:val="000000"/>
                <w:sz w:val="20"/>
                <w:szCs w:val="20"/>
              </w:rPr>
            </w:pPr>
          </w:p>
        </w:tc>
      </w:tr>
      <w:tr>
        <w:tblPrEx>
          <w:tblCellMar>
            <w:top w:w="0" w:type="dxa"/>
            <w:left w:w="108" w:type="dxa"/>
            <w:bottom w:w="0" w:type="dxa"/>
            <w:right w:w="108" w:type="dxa"/>
          </w:tblCellMar>
        </w:tblPrEx>
        <w:trPr>
          <w:trHeight w:val="377" w:hRule="atLeast"/>
        </w:trPr>
        <w:tc>
          <w:tcPr>
            <w:tcW w:w="10499" w:type="dxa"/>
            <w:gridSpan w:val="7"/>
            <w:vMerge w:val="restart"/>
            <w:tcBorders>
              <w:top w:val="single" w:color="000000" w:sz="4" w:space="0"/>
              <w:left w:val="single" w:color="000000" w:sz="4" w:space="0"/>
              <w:bottom w:val="single" w:color="000000" w:sz="4" w:space="0"/>
              <w:right w:val="single" w:color="000000" w:sz="4" w:space="0"/>
            </w:tcBorders>
            <w:shd w:val="clear" w:color="auto" w:fill="auto"/>
          </w:tcPr>
          <w:p>
            <w:pPr>
              <w:keepNext w:val="0"/>
              <w:keepLines w:val="0"/>
              <w:pageBreakBefore w:val="0"/>
              <w:widowControl/>
              <w:kinsoku/>
              <w:wordWrap/>
              <w:overflowPunct/>
              <w:topLinePunct w:val="0"/>
              <w:autoSpaceDE/>
              <w:autoSpaceDN/>
              <w:bidi w:val="0"/>
              <w:adjustRightInd/>
              <w:snapToGrid/>
              <w:spacing w:line="360" w:lineRule="auto"/>
              <w:ind w:left="-199" w:leftChars="-95" w:firstLine="124" w:firstLineChars="62"/>
              <w:jc w:val="left"/>
              <w:textAlignment w:val="top"/>
              <w:rPr>
                <w:rFonts w:hint="eastAsia" w:ascii="宋体" w:hAnsi="宋体" w:cs="宋体"/>
                <w:color w:val="000000"/>
                <w:kern w:val="0"/>
                <w:sz w:val="20"/>
                <w:szCs w:val="20"/>
                <w:lang w:val="en-US" w:eastAsia="zh-CN" w:bidi="ar"/>
              </w:rPr>
            </w:pPr>
            <w:r>
              <w:rPr>
                <w:rFonts w:hint="eastAsia" w:ascii="宋体" w:hAnsi="宋体" w:eastAsia="宋体" w:cs="宋体"/>
                <w:color w:val="000000"/>
                <w:kern w:val="0"/>
                <w:sz w:val="20"/>
                <w:szCs w:val="20"/>
                <w:lang w:bidi="ar"/>
              </w:rPr>
              <w:t>专家评语：</w:t>
            </w:r>
          </w:p>
        </w:tc>
      </w:tr>
      <w:tr>
        <w:tblPrEx>
          <w:tblCellMar>
            <w:top w:w="0" w:type="dxa"/>
            <w:left w:w="108" w:type="dxa"/>
            <w:bottom w:w="0" w:type="dxa"/>
            <w:right w:w="108" w:type="dxa"/>
          </w:tblCellMar>
        </w:tblPrEx>
        <w:trPr>
          <w:trHeight w:val="377" w:hRule="atLeast"/>
        </w:trPr>
        <w:tc>
          <w:tcPr>
            <w:tcW w:w="10499"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left"/>
              <w:rPr>
                <w:rFonts w:ascii="宋体" w:hAnsi="宋体" w:eastAsia="宋体" w:cs="宋体"/>
                <w:color w:val="000000"/>
                <w:sz w:val="20"/>
                <w:szCs w:val="20"/>
              </w:rPr>
            </w:pPr>
          </w:p>
        </w:tc>
      </w:tr>
      <w:tr>
        <w:tblPrEx>
          <w:tblCellMar>
            <w:top w:w="0" w:type="dxa"/>
            <w:left w:w="108" w:type="dxa"/>
            <w:bottom w:w="0" w:type="dxa"/>
            <w:right w:w="108" w:type="dxa"/>
          </w:tblCellMar>
        </w:tblPrEx>
        <w:trPr>
          <w:trHeight w:val="377" w:hRule="atLeast"/>
        </w:trPr>
        <w:tc>
          <w:tcPr>
            <w:tcW w:w="10499"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left"/>
              <w:rPr>
                <w:rFonts w:ascii="宋体" w:hAnsi="宋体" w:eastAsia="宋体" w:cs="宋体"/>
                <w:color w:val="000000"/>
                <w:sz w:val="20"/>
                <w:szCs w:val="20"/>
              </w:rPr>
            </w:pPr>
          </w:p>
        </w:tc>
      </w:tr>
      <w:tr>
        <w:tblPrEx>
          <w:tblCellMar>
            <w:top w:w="0" w:type="dxa"/>
            <w:left w:w="108" w:type="dxa"/>
            <w:bottom w:w="0" w:type="dxa"/>
            <w:right w:w="108" w:type="dxa"/>
          </w:tblCellMar>
        </w:tblPrEx>
        <w:trPr>
          <w:trHeight w:val="399" w:hRule="atLeast"/>
        </w:trPr>
        <w:tc>
          <w:tcPr>
            <w:tcW w:w="10499" w:type="dxa"/>
            <w:gridSpan w:val="7"/>
            <w:vMerge w:val="continue"/>
            <w:tcBorders>
              <w:top w:val="single" w:color="000000" w:sz="4" w:space="0"/>
              <w:left w:val="single" w:color="000000" w:sz="4" w:space="0"/>
              <w:bottom w:val="single" w:color="000000" w:sz="4" w:space="0"/>
              <w:right w:val="single" w:color="000000" w:sz="4" w:space="0"/>
            </w:tcBorders>
            <w:shd w:val="clear" w:color="auto" w:fill="auto"/>
          </w:tcPr>
          <w:p>
            <w:pPr>
              <w:keepNext w:val="0"/>
              <w:keepLines w:val="0"/>
              <w:pageBreakBefore w:val="0"/>
              <w:kinsoku/>
              <w:wordWrap/>
              <w:overflowPunct/>
              <w:topLinePunct w:val="0"/>
              <w:autoSpaceDE/>
              <w:autoSpaceDN/>
              <w:bidi w:val="0"/>
              <w:adjustRightInd/>
              <w:snapToGrid/>
              <w:spacing w:line="360" w:lineRule="auto"/>
              <w:ind w:left="-199" w:leftChars="-95" w:firstLine="124" w:firstLineChars="62"/>
              <w:jc w:val="left"/>
              <w:rPr>
                <w:rFonts w:ascii="宋体" w:hAnsi="宋体" w:eastAsia="宋体" w:cs="宋体"/>
                <w:color w:val="000000"/>
                <w:sz w:val="20"/>
                <w:szCs w:val="20"/>
              </w:rPr>
            </w:pPr>
          </w:p>
        </w:tc>
      </w:tr>
    </w:tbl>
    <w:p>
      <w:pPr>
        <w:keepNext w:val="0"/>
        <w:keepLines w:val="0"/>
        <w:pageBreakBefore w:val="0"/>
        <w:kinsoku/>
        <w:wordWrap/>
        <w:overflowPunct/>
        <w:topLinePunct w:val="0"/>
        <w:autoSpaceDE/>
        <w:autoSpaceDN/>
        <w:bidi w:val="0"/>
        <w:adjustRightInd/>
        <w:snapToGrid/>
        <w:spacing w:line="360" w:lineRule="auto"/>
        <w:rPr>
          <w:rFonts w:hint="default" w:ascii="方正小标宋简体" w:hAnsi="方正小标宋简体" w:eastAsia="方正小标宋简体"/>
          <w:bCs/>
          <w:sz w:val="44"/>
          <w:szCs w:val="48"/>
          <w:lang w:val="en-US" w:eastAsia="zh-CN"/>
        </w:rPr>
      </w:pPr>
      <w:r>
        <w:rPr>
          <w:rFonts w:hint="eastAsia" w:ascii="方正小标宋简体" w:hAnsi="方正小标宋简体" w:eastAsia="方正小标宋简体"/>
          <w:bCs/>
          <w:sz w:val="44"/>
          <w:szCs w:val="48"/>
          <w:lang w:eastAsia="zh-CN"/>
        </w:rPr>
        <w:br w:type="page"/>
      </w:r>
    </w:p>
    <w:p>
      <w:pPr>
        <w:keepNext w:val="0"/>
        <w:keepLines w:val="0"/>
        <w:pageBreakBefore w:val="0"/>
        <w:widowControl w:val="0"/>
        <w:kinsoku/>
        <w:wordWrap/>
        <w:overflowPunct/>
        <w:topLinePunct w:val="0"/>
        <w:autoSpaceDE/>
        <w:autoSpaceDN/>
        <w:bidi w:val="0"/>
        <w:adjustRightInd/>
        <w:snapToGrid/>
        <w:spacing w:line="360" w:lineRule="auto"/>
        <w:ind w:left="-416" w:leftChars="-198" w:right="-195" w:rightChars="-93" w:firstLine="216" w:firstLineChars="0"/>
        <w:jc w:val="center"/>
        <w:textAlignment w:val="auto"/>
        <w:outlineLvl w:val="1"/>
        <w:rPr>
          <w:rFonts w:hint="eastAsia" w:ascii="黑体" w:hAnsi="黑体" w:eastAsia="黑体" w:cs="黑体"/>
          <w:bCs/>
          <w:sz w:val="44"/>
          <w:szCs w:val="48"/>
          <w:lang w:val="en-US" w:eastAsia="zh-CN"/>
        </w:rPr>
      </w:pPr>
      <w:r>
        <w:rPr>
          <w:rFonts w:hint="eastAsia" w:ascii="黑体" w:hAnsi="黑体" w:eastAsia="黑体" w:cs="黑体"/>
          <w:bCs/>
          <w:sz w:val="44"/>
          <w:szCs w:val="48"/>
          <w:lang w:eastAsia="zh-CN"/>
        </w:rPr>
        <w:t>乳腺癌规范诊疗质量控制试点评估现场</w:t>
      </w:r>
      <w:r>
        <w:rPr>
          <w:rFonts w:hint="eastAsia" w:ascii="黑体" w:hAnsi="黑体" w:eastAsia="黑体" w:cs="黑体"/>
          <w:bCs/>
          <w:sz w:val="44"/>
          <w:szCs w:val="48"/>
          <w:lang w:val="en-US" w:eastAsia="zh-CN"/>
        </w:rPr>
        <w:t>检查</w:t>
      </w:r>
      <w:r>
        <w:rPr>
          <w:rFonts w:hint="eastAsia" w:ascii="黑体" w:hAnsi="黑体" w:eastAsia="黑体" w:cs="黑体"/>
          <w:bCs/>
          <w:sz w:val="44"/>
          <w:szCs w:val="48"/>
          <w:lang w:eastAsia="zh-CN"/>
        </w:rPr>
        <w:t>表</w:t>
      </w:r>
      <w:r>
        <w:rPr>
          <w:rFonts w:hint="eastAsia" w:ascii="黑体" w:hAnsi="黑体" w:eastAsia="黑体" w:cs="黑体"/>
          <w:bCs/>
          <w:sz w:val="44"/>
          <w:szCs w:val="48"/>
          <w:lang w:val="en-US" w:eastAsia="zh-CN"/>
        </w:rPr>
        <w:t>2</w:t>
      </w:r>
    </w:p>
    <w:tbl>
      <w:tblPr>
        <w:tblStyle w:val="10"/>
        <w:tblW w:w="10479" w:type="dxa"/>
        <w:jc w:val="center"/>
        <w:tblLayout w:type="autofit"/>
        <w:tblCellMar>
          <w:top w:w="0" w:type="dxa"/>
          <w:left w:w="108" w:type="dxa"/>
          <w:bottom w:w="0" w:type="dxa"/>
          <w:right w:w="108" w:type="dxa"/>
        </w:tblCellMar>
      </w:tblPr>
      <w:tblGrid>
        <w:gridCol w:w="1313"/>
        <w:gridCol w:w="466"/>
        <w:gridCol w:w="3220"/>
        <w:gridCol w:w="2844"/>
        <w:gridCol w:w="681"/>
        <w:gridCol w:w="647"/>
        <w:gridCol w:w="1308"/>
      </w:tblGrid>
      <w:tr>
        <w:tblPrEx>
          <w:tblCellMar>
            <w:top w:w="0" w:type="dxa"/>
            <w:left w:w="108" w:type="dxa"/>
            <w:bottom w:w="0" w:type="dxa"/>
            <w:right w:w="108" w:type="dxa"/>
          </w:tblCellMar>
        </w:tblPrEx>
        <w:trPr>
          <w:trHeight w:val="316" w:hRule="atLeast"/>
          <w:jc w:val="center"/>
        </w:trPr>
        <w:tc>
          <w:tcPr>
            <w:tcW w:w="13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医院名称</w:t>
            </w:r>
          </w:p>
        </w:tc>
        <w:tc>
          <w:tcPr>
            <w:tcW w:w="6530" w:type="dxa"/>
            <w:gridSpan w:val="3"/>
            <w:tcBorders>
              <w:top w:val="single" w:color="auto" w:sz="4" w:space="0"/>
              <w:left w:val="nil"/>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textAlignment w:val="center"/>
              <w:rPr>
                <w:rFonts w:hint="eastAsia" w:ascii="宋体" w:hAnsi="宋体" w:eastAsia="宋体" w:cs="宋体"/>
                <w:color w:val="000000"/>
                <w:sz w:val="20"/>
                <w:szCs w:val="20"/>
              </w:rPr>
            </w:pPr>
          </w:p>
        </w:tc>
        <w:tc>
          <w:tcPr>
            <w:tcW w:w="2636" w:type="dxa"/>
            <w:gridSpan w:val="3"/>
            <w:tcBorders>
              <w:top w:val="single" w:color="auto" w:sz="4" w:space="0"/>
              <w:left w:val="nil"/>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cs="宋体"/>
                <w:color w:val="000000"/>
                <w:kern w:val="0"/>
                <w:sz w:val="20"/>
                <w:szCs w:val="20"/>
                <w:lang w:val="en-US" w:eastAsia="zh-CN" w:bidi="ar"/>
              </w:rPr>
              <w:t>检查</w:t>
            </w:r>
            <w:r>
              <w:rPr>
                <w:rFonts w:hint="eastAsia" w:ascii="宋体" w:hAnsi="宋体" w:eastAsia="宋体" w:cs="宋体"/>
                <w:color w:val="000000"/>
                <w:kern w:val="0"/>
                <w:sz w:val="20"/>
                <w:szCs w:val="20"/>
                <w:lang w:bidi="ar"/>
              </w:rPr>
              <w:t>日期:</w:t>
            </w:r>
          </w:p>
        </w:tc>
      </w:tr>
      <w:tr>
        <w:tblPrEx>
          <w:tblCellMar>
            <w:top w:w="0" w:type="dxa"/>
            <w:left w:w="108" w:type="dxa"/>
            <w:bottom w:w="0" w:type="dxa"/>
            <w:right w:w="108" w:type="dxa"/>
          </w:tblCellMar>
        </w:tblPrEx>
        <w:trPr>
          <w:trHeight w:val="316" w:hRule="atLeast"/>
          <w:jc w:val="center"/>
        </w:trPr>
        <w:tc>
          <w:tcPr>
            <w:tcW w:w="1313"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姓名</w:t>
            </w:r>
          </w:p>
        </w:tc>
        <w:tc>
          <w:tcPr>
            <w:tcW w:w="3686" w:type="dxa"/>
            <w:gridSpan w:val="2"/>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0"/>
                <w:szCs w:val="20"/>
              </w:rPr>
            </w:pP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病案号</w:t>
            </w:r>
          </w:p>
        </w:tc>
        <w:tc>
          <w:tcPr>
            <w:tcW w:w="2636"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316" w:hRule="atLeast"/>
          <w:jc w:val="center"/>
        </w:trPr>
        <w:tc>
          <w:tcPr>
            <w:tcW w:w="1313"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治疗科室</w:t>
            </w:r>
          </w:p>
        </w:tc>
        <w:tc>
          <w:tcPr>
            <w:tcW w:w="3686" w:type="dxa"/>
            <w:gridSpan w:val="2"/>
            <w:tcBorders>
              <w:top w:val="nil"/>
              <w:left w:val="nil"/>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0"/>
                <w:szCs w:val="20"/>
              </w:rPr>
            </w:pP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疾病名称</w:t>
            </w:r>
          </w:p>
        </w:tc>
        <w:tc>
          <w:tcPr>
            <w:tcW w:w="2636" w:type="dxa"/>
            <w:gridSpan w:val="3"/>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636" w:hRule="atLeast"/>
          <w:jc w:val="center"/>
        </w:trPr>
        <w:tc>
          <w:tcPr>
            <w:tcW w:w="4999" w:type="dxa"/>
            <w:gridSpan w:val="3"/>
            <w:tcBorders>
              <w:top w:val="single" w:color="auto" w:sz="4" w:space="0"/>
              <w:left w:val="single" w:color="auto" w:sz="4" w:space="0"/>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b/>
                <w:bCs/>
                <w:color w:val="000000"/>
                <w:sz w:val="20"/>
                <w:szCs w:val="20"/>
              </w:rPr>
            </w:pPr>
            <w:r>
              <w:rPr>
                <w:rFonts w:hint="eastAsia" w:ascii="宋体" w:hAnsi="宋体" w:cs="宋体"/>
                <w:b/>
                <w:bCs/>
                <w:color w:val="000000"/>
                <w:kern w:val="0"/>
                <w:sz w:val="20"/>
                <w:szCs w:val="20"/>
                <w:lang w:val="en-US" w:eastAsia="zh-CN" w:bidi="ar"/>
              </w:rPr>
              <w:t>检查</w:t>
            </w:r>
            <w:r>
              <w:rPr>
                <w:rFonts w:hint="eastAsia" w:ascii="宋体" w:hAnsi="宋体" w:eastAsia="宋体" w:cs="宋体"/>
                <w:b/>
                <w:bCs/>
                <w:color w:val="000000"/>
                <w:kern w:val="0"/>
                <w:sz w:val="20"/>
                <w:szCs w:val="20"/>
                <w:lang w:bidi="ar"/>
              </w:rPr>
              <w:t>内容</w:t>
            </w: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评分标准</w:t>
            </w:r>
          </w:p>
        </w:tc>
        <w:tc>
          <w:tcPr>
            <w:tcW w:w="68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分值</w:t>
            </w:r>
          </w:p>
        </w:tc>
        <w:tc>
          <w:tcPr>
            <w:tcW w:w="647"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得分</w:t>
            </w: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b/>
                <w:bCs/>
                <w:color w:val="000000"/>
                <w:sz w:val="20"/>
                <w:szCs w:val="20"/>
              </w:rPr>
            </w:pPr>
            <w:r>
              <w:rPr>
                <w:rFonts w:hint="eastAsia" w:ascii="宋体" w:hAnsi="宋体" w:eastAsia="宋体" w:cs="宋体"/>
                <w:b/>
                <w:bCs/>
                <w:color w:val="000000"/>
                <w:kern w:val="0"/>
                <w:sz w:val="20"/>
                <w:szCs w:val="20"/>
                <w:lang w:bidi="ar"/>
              </w:rPr>
              <w:t>备注</w:t>
            </w:r>
          </w:p>
        </w:tc>
      </w:tr>
      <w:tr>
        <w:tblPrEx>
          <w:tblCellMar>
            <w:top w:w="0" w:type="dxa"/>
            <w:left w:w="108" w:type="dxa"/>
            <w:bottom w:w="0" w:type="dxa"/>
            <w:right w:w="108" w:type="dxa"/>
          </w:tblCellMar>
        </w:tblPrEx>
        <w:trPr>
          <w:trHeight w:val="745" w:hRule="atLeast"/>
          <w:jc w:val="center"/>
        </w:trPr>
        <w:tc>
          <w:tcPr>
            <w:tcW w:w="1313" w:type="dxa"/>
            <w:vMerge w:val="restart"/>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一、病理诊断及肿瘤临床TNM分期</w:t>
            </w: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诊断依据：病理（或细胞学）诊断支持，ER/PR/HER2/Ki67表达情况</w:t>
            </w: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有病理诊断且信息准确完整5分；信息不全视重要程度酌情扣分，无记录0分</w:t>
            </w:r>
          </w:p>
        </w:tc>
        <w:tc>
          <w:tcPr>
            <w:tcW w:w="68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647"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316" w:hRule="atLeast"/>
          <w:jc w:val="center"/>
        </w:trPr>
        <w:tc>
          <w:tcPr>
            <w:tcW w:w="1313" w:type="dxa"/>
            <w:vMerge w:val="continue"/>
            <w:tcBorders>
              <w:top w:val="nil"/>
              <w:left w:val="single" w:color="auto" w:sz="4" w:space="0"/>
              <w:bottom w:val="single" w:color="000000"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ascii="宋体" w:hAnsi="宋体" w:eastAsia="宋体" w:cs="宋体"/>
                <w:color w:val="000000"/>
                <w:sz w:val="20"/>
                <w:szCs w:val="20"/>
              </w:rPr>
            </w:pP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2</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肿瘤分期</w:t>
            </w:r>
          </w:p>
        </w:tc>
        <w:tc>
          <w:tcPr>
            <w:tcW w:w="2844" w:type="dxa"/>
            <w:tcBorders>
              <w:top w:val="nil"/>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正确5分，未分期或错误0分</w:t>
            </w:r>
          </w:p>
        </w:tc>
        <w:tc>
          <w:tcPr>
            <w:tcW w:w="681" w:type="dxa"/>
            <w:tcBorders>
              <w:top w:val="nil"/>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647" w:type="dxa"/>
            <w:tcBorders>
              <w:top w:val="nil"/>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745" w:hRule="atLeast"/>
          <w:jc w:val="center"/>
        </w:trPr>
        <w:tc>
          <w:tcPr>
            <w:tcW w:w="1313" w:type="dxa"/>
            <w:vMerge w:val="restart"/>
            <w:tcBorders>
              <w:top w:val="nil"/>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　</w:t>
            </w:r>
          </w:p>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二、治疗过程及质量控制</w:t>
            </w: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3</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病例记录规范（入院病史记录、日常病程记录、重要检查及治疗记录等）</w:t>
            </w:r>
          </w:p>
        </w:tc>
        <w:tc>
          <w:tcPr>
            <w:tcW w:w="2844" w:type="dxa"/>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完整10分，信息不全视重要程度酌情扣分，无记录0分</w:t>
            </w:r>
          </w:p>
        </w:tc>
        <w:tc>
          <w:tcPr>
            <w:tcW w:w="681" w:type="dxa"/>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single" w:color="auto" w:sz="4" w:space="0"/>
              <w:left w:val="nil"/>
              <w:bottom w:val="nil"/>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745" w:hRule="atLeast"/>
          <w:jc w:val="center"/>
        </w:trPr>
        <w:tc>
          <w:tcPr>
            <w:tcW w:w="1313" w:type="dxa"/>
            <w:vMerge w:val="continue"/>
            <w:tcBorders>
              <w:left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4</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治疗知情同意（包括治疗方式或方案，适应症，禁忌症、自费药物告知等，不包括放疗）</w:t>
            </w:r>
          </w:p>
        </w:tc>
        <w:tc>
          <w:tcPr>
            <w:tcW w:w="284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完整10分，信息不全视重要程度酌情扣分，任何同意书发生病人或医生未签字0分</w:t>
            </w:r>
          </w:p>
        </w:tc>
        <w:tc>
          <w:tcPr>
            <w:tcW w:w="68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1481" w:hRule="atLeast"/>
          <w:jc w:val="center"/>
        </w:trPr>
        <w:tc>
          <w:tcPr>
            <w:tcW w:w="1313" w:type="dxa"/>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ascii="宋体" w:hAnsi="宋体" w:eastAsia="宋体" w:cs="宋体"/>
                <w:color w:val="000000"/>
                <w:sz w:val="20"/>
                <w:szCs w:val="20"/>
              </w:rPr>
            </w:pP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5</w:t>
            </w:r>
          </w:p>
        </w:tc>
        <w:tc>
          <w:tcPr>
            <w:tcW w:w="3220" w:type="dxa"/>
            <w:tcBorders>
              <w:top w:val="single" w:color="auto" w:sz="4" w:space="0"/>
              <w:left w:val="nil"/>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手术记录规范（手术日期及时间、术前诊断、手术名称、术后诊断、参加手术的医务人员、麻醉方法和麻醉人员、麻醉前用药及术中用药、手术过程，术中如遇意外，还应详细记录抢救措施及过程，术后记录）</w:t>
            </w: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完整且合乎规范10分，缺少信息视重要程度酌情扣分，无记录或不合乎手术标准0分</w:t>
            </w:r>
          </w:p>
        </w:tc>
        <w:tc>
          <w:tcPr>
            <w:tcW w:w="68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若病例不涉及手术，此项给予满分</w:t>
            </w:r>
          </w:p>
        </w:tc>
      </w:tr>
      <w:tr>
        <w:tblPrEx>
          <w:tblCellMar>
            <w:top w:w="0" w:type="dxa"/>
            <w:left w:w="108" w:type="dxa"/>
            <w:bottom w:w="0" w:type="dxa"/>
            <w:right w:w="108" w:type="dxa"/>
          </w:tblCellMar>
        </w:tblPrEx>
        <w:trPr>
          <w:trHeight w:val="745" w:hRule="atLeast"/>
          <w:jc w:val="center"/>
        </w:trPr>
        <w:tc>
          <w:tcPr>
            <w:tcW w:w="1313" w:type="dxa"/>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ascii="宋体" w:hAnsi="宋体" w:eastAsia="宋体" w:cs="宋体"/>
                <w:color w:val="000000"/>
                <w:sz w:val="20"/>
                <w:szCs w:val="20"/>
              </w:rPr>
            </w:pP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6</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放疗记录规范（靶区范围、放射总剂量和放射分割方式，重要正常组织器官损害等）</w:t>
            </w: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完整且合乎规范10分，缺少信息视重要程度酌情扣分，无记录或不合乎放疗标准0分</w:t>
            </w:r>
          </w:p>
        </w:tc>
        <w:tc>
          <w:tcPr>
            <w:tcW w:w="68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若病例不涉及放疗，此项给予满分</w:t>
            </w:r>
          </w:p>
        </w:tc>
      </w:tr>
      <w:tr>
        <w:tblPrEx>
          <w:tblCellMar>
            <w:top w:w="0" w:type="dxa"/>
            <w:left w:w="108" w:type="dxa"/>
            <w:bottom w:w="0" w:type="dxa"/>
            <w:right w:w="108" w:type="dxa"/>
          </w:tblCellMar>
        </w:tblPrEx>
        <w:trPr>
          <w:trHeight w:val="990" w:hRule="atLeast"/>
          <w:jc w:val="center"/>
        </w:trPr>
        <w:tc>
          <w:tcPr>
            <w:tcW w:w="1313" w:type="dxa"/>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ascii="宋体" w:hAnsi="宋体" w:eastAsia="宋体" w:cs="宋体"/>
                <w:color w:val="000000"/>
                <w:sz w:val="20"/>
                <w:szCs w:val="20"/>
              </w:rPr>
            </w:pP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7</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化疗记录规范（是否有身高、体重、体表面积、标准应用剂量、实际应用剂量、剂量应用计算依据记录、给药途径、预处理是否合理）</w:t>
            </w: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完整且合乎规范10分，缺少信息视重要程度酌情扣分，无记录或不合乎化疗标准0分</w:t>
            </w:r>
          </w:p>
        </w:tc>
        <w:tc>
          <w:tcPr>
            <w:tcW w:w="68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若病例不涉及化疗，此项给与满分</w:t>
            </w:r>
          </w:p>
        </w:tc>
      </w:tr>
      <w:tr>
        <w:tblPrEx>
          <w:tblCellMar>
            <w:top w:w="0" w:type="dxa"/>
            <w:left w:w="108" w:type="dxa"/>
            <w:bottom w:w="0" w:type="dxa"/>
            <w:right w:w="108" w:type="dxa"/>
          </w:tblCellMar>
        </w:tblPrEx>
        <w:trPr>
          <w:trHeight w:val="990" w:hRule="atLeast"/>
          <w:jc w:val="center"/>
        </w:trPr>
        <w:tc>
          <w:tcPr>
            <w:tcW w:w="1313" w:type="dxa"/>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ascii="宋体" w:hAnsi="宋体" w:eastAsia="宋体" w:cs="宋体"/>
                <w:color w:val="000000"/>
                <w:sz w:val="20"/>
                <w:szCs w:val="20"/>
              </w:rPr>
            </w:pP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8</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系统性治疗药物（不含化疗）选择、剂量、给药途径、用法合理</w:t>
            </w: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完整且合乎规范10分，信息不全视重要程度酌情扣分，无记录或不合乎规范0分</w:t>
            </w:r>
          </w:p>
        </w:tc>
        <w:tc>
          <w:tcPr>
            <w:tcW w:w="68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若病例不涉及系统性治疗药物，此项给予满分</w:t>
            </w:r>
          </w:p>
        </w:tc>
      </w:tr>
      <w:tr>
        <w:tblPrEx>
          <w:tblCellMar>
            <w:top w:w="0" w:type="dxa"/>
            <w:left w:w="108" w:type="dxa"/>
            <w:bottom w:w="0" w:type="dxa"/>
            <w:right w:w="108" w:type="dxa"/>
          </w:tblCellMar>
        </w:tblPrEx>
        <w:trPr>
          <w:trHeight w:val="990" w:hRule="atLeast"/>
          <w:jc w:val="center"/>
        </w:trPr>
        <w:tc>
          <w:tcPr>
            <w:tcW w:w="1313" w:type="dxa"/>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ascii="宋体" w:hAnsi="宋体" w:eastAsia="宋体" w:cs="宋体"/>
                <w:color w:val="000000"/>
                <w:sz w:val="20"/>
                <w:szCs w:val="20"/>
              </w:rPr>
            </w:pP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9</w:t>
            </w:r>
          </w:p>
        </w:tc>
        <w:tc>
          <w:tcPr>
            <w:tcW w:w="3220" w:type="dxa"/>
            <w:tcBorders>
              <w:top w:val="single" w:color="auto" w:sz="4" w:space="0"/>
              <w:left w:val="nil"/>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疗效评价</w:t>
            </w: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完整且准确10分，不全或记录无0分</w:t>
            </w:r>
          </w:p>
        </w:tc>
        <w:tc>
          <w:tcPr>
            <w:tcW w:w="68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若病例不涉及疗效评价，此项给予满分</w:t>
            </w:r>
          </w:p>
        </w:tc>
      </w:tr>
      <w:tr>
        <w:tblPrEx>
          <w:tblCellMar>
            <w:top w:w="0" w:type="dxa"/>
            <w:left w:w="108" w:type="dxa"/>
            <w:bottom w:w="0" w:type="dxa"/>
            <w:right w:w="108" w:type="dxa"/>
          </w:tblCellMar>
        </w:tblPrEx>
        <w:trPr>
          <w:trHeight w:val="990" w:hRule="atLeast"/>
          <w:jc w:val="center"/>
        </w:trPr>
        <w:tc>
          <w:tcPr>
            <w:tcW w:w="1313" w:type="dxa"/>
            <w:vMerge w:val="continue"/>
            <w:tcBorders>
              <w:left w:val="single" w:color="auto" w:sz="4" w:space="0"/>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ascii="宋体" w:hAnsi="宋体" w:eastAsia="宋体" w:cs="宋体"/>
                <w:color w:val="000000"/>
                <w:sz w:val="20"/>
                <w:szCs w:val="20"/>
              </w:rPr>
            </w:pPr>
          </w:p>
        </w:tc>
        <w:tc>
          <w:tcPr>
            <w:tcW w:w="466"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sz w:val="20"/>
                <w:szCs w:val="20"/>
              </w:rPr>
            </w:pPr>
            <w:r>
              <w:rPr>
                <w:rFonts w:hint="eastAsia" w:ascii="宋体" w:hAnsi="宋体" w:eastAsia="宋体" w:cs="宋体"/>
                <w:kern w:val="0"/>
                <w:sz w:val="20"/>
                <w:szCs w:val="20"/>
                <w:lang w:bidi="ar"/>
              </w:rPr>
              <w:t>不良反应评价（包括血液学和非血液学）及不良反应处理是否合理及时</w:t>
            </w:r>
          </w:p>
        </w:tc>
        <w:tc>
          <w:tcPr>
            <w:tcW w:w="2844"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完整且合乎规范10分，缺少信息视重要程度酌情扣分，无记录0分</w:t>
            </w:r>
          </w:p>
        </w:tc>
        <w:tc>
          <w:tcPr>
            <w:tcW w:w="681"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nil"/>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若病例不涉及不良反应评价，此项给予满分</w:t>
            </w:r>
          </w:p>
        </w:tc>
      </w:tr>
      <w:tr>
        <w:tblPrEx>
          <w:tblCellMar>
            <w:top w:w="0" w:type="dxa"/>
            <w:left w:w="108" w:type="dxa"/>
            <w:bottom w:w="0" w:type="dxa"/>
            <w:right w:w="108" w:type="dxa"/>
          </w:tblCellMar>
        </w:tblPrEx>
        <w:trPr>
          <w:trHeight w:val="745" w:hRule="atLeast"/>
          <w:jc w:val="center"/>
        </w:trPr>
        <w:tc>
          <w:tcPr>
            <w:tcW w:w="1313" w:type="dxa"/>
            <w:vMerge w:val="continue"/>
            <w:tcBorders>
              <w:left w:val="single" w:color="auto" w:sz="4" w:space="0"/>
              <w:bottom w:val="nil"/>
              <w:right w:val="single" w:color="auto" w:sz="4" w:space="0"/>
            </w:tcBorders>
            <w:shd w:val="clear" w:color="auto" w:fill="auto"/>
            <w:vAlign w:val="center"/>
          </w:tcPr>
          <w:p>
            <w:pPr>
              <w:keepNext w:val="0"/>
              <w:keepLines w:val="0"/>
              <w:pageBreakBefore w:val="0"/>
              <w:kinsoku/>
              <w:wordWrap/>
              <w:overflowPunct/>
              <w:topLinePunct w:val="0"/>
              <w:autoSpaceDE/>
              <w:autoSpaceDN/>
              <w:bidi w:val="0"/>
              <w:adjustRightInd/>
              <w:snapToGrid/>
              <w:spacing w:line="360" w:lineRule="auto"/>
              <w:jc w:val="center"/>
              <w:rPr>
                <w:rFonts w:ascii="宋体" w:hAnsi="宋体" w:eastAsia="宋体" w:cs="宋体"/>
                <w:color w:val="000000"/>
                <w:sz w:val="20"/>
                <w:szCs w:val="20"/>
              </w:rPr>
            </w:pPr>
          </w:p>
        </w:tc>
        <w:tc>
          <w:tcPr>
            <w:tcW w:w="466"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11</w:t>
            </w:r>
          </w:p>
        </w:tc>
        <w:tc>
          <w:tcPr>
            <w:tcW w:w="3220"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出院小结完整并含医嘱和后续随访提示</w:t>
            </w:r>
          </w:p>
        </w:tc>
        <w:tc>
          <w:tcPr>
            <w:tcW w:w="2844"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完整且合乎规范10分，缺少信息视重要程度酌情扣分，无记录0分</w:t>
            </w:r>
          </w:p>
        </w:tc>
        <w:tc>
          <w:tcPr>
            <w:tcW w:w="681"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10</w:t>
            </w:r>
          </w:p>
        </w:tc>
        <w:tc>
          <w:tcPr>
            <w:tcW w:w="647"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c>
          <w:tcPr>
            <w:tcW w:w="1308" w:type="dxa"/>
            <w:tcBorders>
              <w:top w:val="single" w:color="auto" w:sz="4" w:space="0"/>
              <w:left w:val="nil"/>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325" w:hRule="atLeast"/>
          <w:jc w:val="center"/>
        </w:trPr>
        <w:tc>
          <w:tcPr>
            <w:tcW w:w="131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合计得分</w:t>
            </w:r>
          </w:p>
        </w:tc>
        <w:tc>
          <w:tcPr>
            <w:tcW w:w="9166" w:type="dxa"/>
            <w:gridSpan w:val="6"/>
            <w:tcBorders>
              <w:top w:val="single" w:color="auto" w:sz="4" w:space="0"/>
              <w:left w:val="nil"/>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379" w:hRule="atLeast"/>
          <w:jc w:val="center"/>
        </w:trPr>
        <w:tc>
          <w:tcPr>
            <w:tcW w:w="1313"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r>
              <w:rPr>
                <w:rFonts w:hint="eastAsia" w:ascii="宋体" w:hAnsi="宋体" w:eastAsia="宋体" w:cs="宋体"/>
                <w:color w:val="000000"/>
                <w:kern w:val="0"/>
                <w:sz w:val="20"/>
                <w:szCs w:val="20"/>
                <w:lang w:bidi="ar"/>
              </w:rPr>
              <w:t>专家签字：</w:t>
            </w:r>
          </w:p>
        </w:tc>
        <w:tc>
          <w:tcPr>
            <w:tcW w:w="9166" w:type="dxa"/>
            <w:gridSpan w:val="6"/>
            <w:tcBorders>
              <w:top w:val="single" w:color="auto" w:sz="4" w:space="0"/>
              <w:left w:val="nil"/>
              <w:bottom w:val="single" w:color="auto"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sz w:val="20"/>
                <w:szCs w:val="20"/>
              </w:rPr>
            </w:pPr>
          </w:p>
        </w:tc>
      </w:tr>
      <w:tr>
        <w:tblPrEx>
          <w:tblCellMar>
            <w:top w:w="0" w:type="dxa"/>
            <w:left w:w="108" w:type="dxa"/>
            <w:bottom w:w="0" w:type="dxa"/>
            <w:right w:w="108" w:type="dxa"/>
          </w:tblCellMar>
        </w:tblPrEx>
        <w:trPr>
          <w:trHeight w:val="1466" w:hRule="atLeast"/>
          <w:jc w:val="center"/>
        </w:trPr>
        <w:tc>
          <w:tcPr>
            <w:tcW w:w="10479" w:type="dxa"/>
            <w:gridSpan w:val="7"/>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kern w:val="0"/>
                <w:sz w:val="20"/>
                <w:szCs w:val="20"/>
                <w:lang w:bidi="ar"/>
              </w:rPr>
            </w:pPr>
            <w:r>
              <w:rPr>
                <w:rFonts w:hint="eastAsia" w:ascii="宋体" w:hAnsi="宋体" w:eastAsia="宋体" w:cs="宋体"/>
                <w:color w:val="000000"/>
                <w:kern w:val="0"/>
                <w:sz w:val="20"/>
                <w:szCs w:val="20"/>
                <w:lang w:bidi="ar"/>
              </w:rPr>
              <w:t>专家评语：</w:t>
            </w:r>
          </w:p>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ascii="宋体" w:hAnsi="宋体" w:eastAsia="宋体" w:cs="宋体"/>
                <w:color w:val="000000"/>
                <w:kern w:val="0"/>
                <w:sz w:val="20"/>
                <w:szCs w:val="20"/>
                <w:lang w:bidi="ar"/>
              </w:rPr>
            </w:pPr>
          </w:p>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kern w:val="0"/>
                <w:sz w:val="20"/>
                <w:szCs w:val="20"/>
                <w:lang w:bidi="ar"/>
              </w:rPr>
            </w:pPr>
          </w:p>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color w:val="000000"/>
                <w:sz w:val="20"/>
                <w:szCs w:val="20"/>
              </w:rPr>
            </w:pPr>
          </w:p>
        </w:tc>
      </w:tr>
    </w:tbl>
    <w:p>
      <w:pPr>
        <w:keepNext w:val="0"/>
        <w:keepLines w:val="0"/>
        <w:pageBreakBefore w:val="0"/>
        <w:kinsoku/>
        <w:wordWrap/>
        <w:overflowPunct/>
        <w:topLinePunct w:val="0"/>
        <w:autoSpaceDE/>
        <w:autoSpaceDN/>
        <w:bidi w:val="0"/>
        <w:adjustRightInd/>
        <w:snapToGrid/>
        <w:spacing w:line="360" w:lineRule="auto"/>
        <w:jc w:val="left"/>
        <w:rPr>
          <w:rFonts w:hint="eastAsia" w:ascii="黑体" w:hAnsi="黑体" w:eastAsia="黑体"/>
          <w:sz w:val="32"/>
          <w:szCs w:val="32"/>
        </w:rPr>
      </w:pPr>
    </w:p>
    <w:p>
      <w:pPr>
        <w:keepNext w:val="0"/>
        <w:keepLines w:val="0"/>
        <w:pageBreakBefore w:val="0"/>
        <w:kinsoku/>
        <w:wordWrap/>
        <w:overflowPunct/>
        <w:topLinePunct w:val="0"/>
        <w:autoSpaceDE/>
        <w:autoSpaceDN/>
        <w:bidi w:val="0"/>
        <w:adjustRightInd/>
        <w:snapToGrid/>
        <w:spacing w:line="360" w:lineRule="auto"/>
        <w:rPr>
          <w:rFonts w:hint="eastAsia" w:eastAsia="仿宋"/>
          <w:sz w:val="28"/>
          <w:szCs w:val="28"/>
          <w:lang w:eastAsia="zh-CN"/>
        </w:rPr>
      </w:pPr>
    </w:p>
    <w:sectPr>
      <w:footerReference r:id="rId3" w:type="default"/>
      <w:footerReference r:id="rId4" w:type="even"/>
      <w:pgSz w:w="11906" w:h="16838"/>
      <w:pgMar w:top="2098" w:right="1531" w:bottom="1400" w:left="1531" w:header="851" w:footer="992"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0000600000000000000"/>
    <w:charset w:val="86"/>
    <w:family w:val="auto"/>
    <w:pitch w:val="default"/>
    <w:sig w:usb0="00000000" w:usb1="00000000" w:usb2="00000012" w:usb3="00000000" w:csb0="00160001" w:csb1="12030000"/>
  </w:font>
  <w:font w:name="仿宋">
    <w:panose1 w:val="02010609060101010101"/>
    <w:charset w:val="86"/>
    <w:family w:val="modern"/>
    <w:pitch w:val="default"/>
    <w:sig w:usb0="800002BF" w:usb1="38CF7CFA" w:usb2="00000016" w:usb3="00000000" w:csb0="00040001" w:csb1="00000000"/>
  </w:font>
  <w:font w:name="方正舒体">
    <w:panose1 w:val="02010601030101010101"/>
    <w:charset w:val="86"/>
    <w:family w:val="auto"/>
    <w:pitch w:val="default"/>
    <w:sig w:usb0="00000003"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w:panose1 w:val="020B0604020202020204"/>
    <w:charset w:val="00"/>
    <w:family w:val="auto"/>
    <w:pitch w:val="default"/>
    <w:sig w:usb0="E0002EFF" w:usb1="C000785B" w:usb2="00000009" w:usb3="00000000" w:csb0="400001FF" w:csb1="FFFF0000"/>
  </w:font>
  <w:font w:name="幼圆">
    <w:panose1 w:val="0201050906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3"/>
        <w:rFonts w:ascii="宋体" w:hAnsi="宋体"/>
        <w:sz w:val="28"/>
        <w:szCs w:val="28"/>
      </w:rPr>
    </w:pPr>
    <w:r>
      <w:rPr>
        <w:rStyle w:val="13"/>
        <w:rFonts w:ascii="宋体" w:hAnsi="宋体"/>
        <w:sz w:val="28"/>
        <w:szCs w:val="28"/>
      </w:rPr>
      <w:fldChar w:fldCharType="begin"/>
    </w:r>
    <w:r>
      <w:rPr>
        <w:rStyle w:val="13"/>
        <w:rFonts w:ascii="宋体" w:hAnsi="宋体"/>
        <w:sz w:val="28"/>
        <w:szCs w:val="28"/>
      </w:rPr>
      <w:instrText xml:space="preserve">PAGE  </w:instrText>
    </w:r>
    <w:r>
      <w:rPr>
        <w:rStyle w:val="13"/>
        <w:rFonts w:ascii="宋体" w:hAnsi="宋体"/>
        <w:sz w:val="28"/>
        <w:szCs w:val="28"/>
      </w:rPr>
      <w:fldChar w:fldCharType="separate"/>
    </w:r>
    <w:r>
      <w:rPr>
        <w:rStyle w:val="13"/>
        <w:rFonts w:ascii="宋体" w:hAnsi="宋体"/>
        <w:sz w:val="28"/>
        <w:szCs w:val="28"/>
      </w:rPr>
      <w:t>- 12 -</w:t>
    </w:r>
    <w:r>
      <w:rPr>
        <w:rStyle w:val="13"/>
        <w:rFonts w:ascii="宋体" w:hAnsi="宋体"/>
        <w:sz w:val="28"/>
        <w:szCs w:val="28"/>
      </w:rPr>
      <w:fldChar w:fldCharType="end"/>
    </w:r>
  </w:p>
  <w:p>
    <w:pPr>
      <w:pStyle w:val="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outside" w:y="1"/>
      <w:rPr>
        <w:rStyle w:val="13"/>
      </w:rPr>
    </w:pPr>
    <w:r>
      <w:rPr>
        <w:rStyle w:val="13"/>
      </w:rPr>
      <w:fldChar w:fldCharType="begin"/>
    </w:r>
    <w:r>
      <w:rPr>
        <w:rStyle w:val="13"/>
      </w:rPr>
      <w:instrText xml:space="preserve">PAGE  </w:instrText>
    </w:r>
    <w:r>
      <w:rPr>
        <w:rStyle w:val="13"/>
      </w:rPr>
      <w:fldChar w:fldCharType="separate"/>
    </w:r>
    <w:r>
      <w:rPr>
        <w:rStyle w:val="13"/>
      </w:rPr>
      <w:t>- 1 -</w:t>
    </w:r>
    <w:r>
      <w:rPr>
        <w:rStyle w:val="13"/>
      </w:rPr>
      <w:fldChar w:fldCharType="end"/>
    </w:r>
  </w:p>
  <w:p>
    <w:pPr>
      <w:pStyle w:val="7"/>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NkYWY1NTM5NGJjMmJmNDMxY2U2YzVlYTI2MjNjOTEifQ=="/>
  </w:docVars>
  <w:rsids>
    <w:rsidRoot w:val="00AF7DCE"/>
    <w:rsid w:val="000008DC"/>
    <w:rsid w:val="00005269"/>
    <w:rsid w:val="000106F1"/>
    <w:rsid w:val="000110EF"/>
    <w:rsid w:val="00012BFD"/>
    <w:rsid w:val="00013030"/>
    <w:rsid w:val="000217FD"/>
    <w:rsid w:val="000276E3"/>
    <w:rsid w:val="00032A3D"/>
    <w:rsid w:val="00040DC6"/>
    <w:rsid w:val="00046A6E"/>
    <w:rsid w:val="000521F3"/>
    <w:rsid w:val="00052A8C"/>
    <w:rsid w:val="000544F8"/>
    <w:rsid w:val="00056CCE"/>
    <w:rsid w:val="0007097C"/>
    <w:rsid w:val="000738F2"/>
    <w:rsid w:val="00074741"/>
    <w:rsid w:val="00076791"/>
    <w:rsid w:val="00083A6A"/>
    <w:rsid w:val="00084A1D"/>
    <w:rsid w:val="00091711"/>
    <w:rsid w:val="00096002"/>
    <w:rsid w:val="000A3CEA"/>
    <w:rsid w:val="000A47BB"/>
    <w:rsid w:val="000B377B"/>
    <w:rsid w:val="000B7A30"/>
    <w:rsid w:val="000C39BC"/>
    <w:rsid w:val="000C4EF8"/>
    <w:rsid w:val="000C7D36"/>
    <w:rsid w:val="000D19BA"/>
    <w:rsid w:val="000D3A32"/>
    <w:rsid w:val="000D4A26"/>
    <w:rsid w:val="000D7AD7"/>
    <w:rsid w:val="000D7C32"/>
    <w:rsid w:val="000E525A"/>
    <w:rsid w:val="000E56AC"/>
    <w:rsid w:val="000E7B03"/>
    <w:rsid w:val="0011022A"/>
    <w:rsid w:val="001117BF"/>
    <w:rsid w:val="001238ED"/>
    <w:rsid w:val="00124814"/>
    <w:rsid w:val="001251FB"/>
    <w:rsid w:val="00127C40"/>
    <w:rsid w:val="00137CE3"/>
    <w:rsid w:val="001425EA"/>
    <w:rsid w:val="00143DD9"/>
    <w:rsid w:val="00144CB7"/>
    <w:rsid w:val="001466CE"/>
    <w:rsid w:val="001502B3"/>
    <w:rsid w:val="001506BC"/>
    <w:rsid w:val="00152691"/>
    <w:rsid w:val="001535F4"/>
    <w:rsid w:val="0015732F"/>
    <w:rsid w:val="001601FB"/>
    <w:rsid w:val="00160282"/>
    <w:rsid w:val="001637C8"/>
    <w:rsid w:val="00171107"/>
    <w:rsid w:val="001722DC"/>
    <w:rsid w:val="00185666"/>
    <w:rsid w:val="001863EE"/>
    <w:rsid w:val="0019638E"/>
    <w:rsid w:val="001A200B"/>
    <w:rsid w:val="001B2725"/>
    <w:rsid w:val="001B57CB"/>
    <w:rsid w:val="001B5FDD"/>
    <w:rsid w:val="001B67A8"/>
    <w:rsid w:val="001C1103"/>
    <w:rsid w:val="001C28A3"/>
    <w:rsid w:val="001C3130"/>
    <w:rsid w:val="001C3E37"/>
    <w:rsid w:val="001C5ACC"/>
    <w:rsid w:val="001C6E71"/>
    <w:rsid w:val="001C79CF"/>
    <w:rsid w:val="001D385A"/>
    <w:rsid w:val="001E0647"/>
    <w:rsid w:val="001E3BF2"/>
    <w:rsid w:val="001E5727"/>
    <w:rsid w:val="001E6227"/>
    <w:rsid w:val="001F163E"/>
    <w:rsid w:val="001F57B3"/>
    <w:rsid w:val="001F5E3A"/>
    <w:rsid w:val="001F7DF6"/>
    <w:rsid w:val="002017DE"/>
    <w:rsid w:val="0020393C"/>
    <w:rsid w:val="00216CB7"/>
    <w:rsid w:val="00223837"/>
    <w:rsid w:val="00230FD8"/>
    <w:rsid w:val="00232367"/>
    <w:rsid w:val="00233D26"/>
    <w:rsid w:val="00237DD4"/>
    <w:rsid w:val="002402A9"/>
    <w:rsid w:val="00240701"/>
    <w:rsid w:val="00241801"/>
    <w:rsid w:val="00242336"/>
    <w:rsid w:val="00245E0A"/>
    <w:rsid w:val="0024753E"/>
    <w:rsid w:val="0024772A"/>
    <w:rsid w:val="00247C62"/>
    <w:rsid w:val="00250B8E"/>
    <w:rsid w:val="0025484F"/>
    <w:rsid w:val="00261898"/>
    <w:rsid w:val="00262815"/>
    <w:rsid w:val="00272536"/>
    <w:rsid w:val="00273144"/>
    <w:rsid w:val="00281DC1"/>
    <w:rsid w:val="0028786E"/>
    <w:rsid w:val="002B1D07"/>
    <w:rsid w:val="002B2A7A"/>
    <w:rsid w:val="002B43BC"/>
    <w:rsid w:val="002B6DC2"/>
    <w:rsid w:val="002C6BD9"/>
    <w:rsid w:val="002D4AB4"/>
    <w:rsid w:val="002D6D89"/>
    <w:rsid w:val="002D748B"/>
    <w:rsid w:val="002E1699"/>
    <w:rsid w:val="002E1BEF"/>
    <w:rsid w:val="002E6757"/>
    <w:rsid w:val="002E7475"/>
    <w:rsid w:val="002F39E7"/>
    <w:rsid w:val="002F5431"/>
    <w:rsid w:val="00306836"/>
    <w:rsid w:val="00315A2B"/>
    <w:rsid w:val="00316F0B"/>
    <w:rsid w:val="00323127"/>
    <w:rsid w:val="00324189"/>
    <w:rsid w:val="0032427C"/>
    <w:rsid w:val="003254D8"/>
    <w:rsid w:val="00325C45"/>
    <w:rsid w:val="0032753D"/>
    <w:rsid w:val="00327A30"/>
    <w:rsid w:val="003314AF"/>
    <w:rsid w:val="00331C3B"/>
    <w:rsid w:val="00334727"/>
    <w:rsid w:val="003348CE"/>
    <w:rsid w:val="00344291"/>
    <w:rsid w:val="00347F9C"/>
    <w:rsid w:val="003500EE"/>
    <w:rsid w:val="00350C7D"/>
    <w:rsid w:val="00350E5F"/>
    <w:rsid w:val="0035687E"/>
    <w:rsid w:val="00357629"/>
    <w:rsid w:val="00362BA2"/>
    <w:rsid w:val="00370DB7"/>
    <w:rsid w:val="00372962"/>
    <w:rsid w:val="003779FD"/>
    <w:rsid w:val="00387C0B"/>
    <w:rsid w:val="00394BC5"/>
    <w:rsid w:val="00397752"/>
    <w:rsid w:val="003B320F"/>
    <w:rsid w:val="003B5465"/>
    <w:rsid w:val="003C22A3"/>
    <w:rsid w:val="003C38A0"/>
    <w:rsid w:val="003C3D10"/>
    <w:rsid w:val="003C53DE"/>
    <w:rsid w:val="003D25CC"/>
    <w:rsid w:val="003E6C02"/>
    <w:rsid w:val="003E7326"/>
    <w:rsid w:val="003E7455"/>
    <w:rsid w:val="003F347D"/>
    <w:rsid w:val="003F3BF3"/>
    <w:rsid w:val="00400122"/>
    <w:rsid w:val="00401943"/>
    <w:rsid w:val="0040480B"/>
    <w:rsid w:val="00407718"/>
    <w:rsid w:val="0041231D"/>
    <w:rsid w:val="004156C5"/>
    <w:rsid w:val="00423826"/>
    <w:rsid w:val="00424795"/>
    <w:rsid w:val="0043630F"/>
    <w:rsid w:val="00436F3B"/>
    <w:rsid w:val="00437728"/>
    <w:rsid w:val="0044002E"/>
    <w:rsid w:val="00445762"/>
    <w:rsid w:val="00445A15"/>
    <w:rsid w:val="00447641"/>
    <w:rsid w:val="0045255D"/>
    <w:rsid w:val="0045383B"/>
    <w:rsid w:val="004538DE"/>
    <w:rsid w:val="00456D7F"/>
    <w:rsid w:val="0046108A"/>
    <w:rsid w:val="0046273F"/>
    <w:rsid w:val="00463B1E"/>
    <w:rsid w:val="004660B7"/>
    <w:rsid w:val="00466422"/>
    <w:rsid w:val="00471EAC"/>
    <w:rsid w:val="00472275"/>
    <w:rsid w:val="00475BCC"/>
    <w:rsid w:val="0049429F"/>
    <w:rsid w:val="004A069B"/>
    <w:rsid w:val="004A08AD"/>
    <w:rsid w:val="004A15E8"/>
    <w:rsid w:val="004A7254"/>
    <w:rsid w:val="004B626F"/>
    <w:rsid w:val="004C1C78"/>
    <w:rsid w:val="004E453D"/>
    <w:rsid w:val="004E6C66"/>
    <w:rsid w:val="00504D2C"/>
    <w:rsid w:val="00505D7F"/>
    <w:rsid w:val="00507B5B"/>
    <w:rsid w:val="0051256F"/>
    <w:rsid w:val="0051737C"/>
    <w:rsid w:val="00517634"/>
    <w:rsid w:val="00524671"/>
    <w:rsid w:val="005257B6"/>
    <w:rsid w:val="00526804"/>
    <w:rsid w:val="00533A6A"/>
    <w:rsid w:val="0053527B"/>
    <w:rsid w:val="00535C59"/>
    <w:rsid w:val="005370CC"/>
    <w:rsid w:val="0054453C"/>
    <w:rsid w:val="0054641B"/>
    <w:rsid w:val="00547169"/>
    <w:rsid w:val="00550BB2"/>
    <w:rsid w:val="00556CC1"/>
    <w:rsid w:val="00566617"/>
    <w:rsid w:val="00566925"/>
    <w:rsid w:val="00566FD6"/>
    <w:rsid w:val="00571A37"/>
    <w:rsid w:val="00572F05"/>
    <w:rsid w:val="00576809"/>
    <w:rsid w:val="0057715E"/>
    <w:rsid w:val="00580345"/>
    <w:rsid w:val="00595CBF"/>
    <w:rsid w:val="005A1C02"/>
    <w:rsid w:val="005A1DC7"/>
    <w:rsid w:val="005A1E3F"/>
    <w:rsid w:val="005A523F"/>
    <w:rsid w:val="005B6A51"/>
    <w:rsid w:val="005C132F"/>
    <w:rsid w:val="005C3DE3"/>
    <w:rsid w:val="005C49C0"/>
    <w:rsid w:val="005C4AC6"/>
    <w:rsid w:val="005C6ABD"/>
    <w:rsid w:val="005D28D1"/>
    <w:rsid w:val="005E1CE9"/>
    <w:rsid w:val="005E2ABF"/>
    <w:rsid w:val="005F07D7"/>
    <w:rsid w:val="005F27FF"/>
    <w:rsid w:val="006000B4"/>
    <w:rsid w:val="00602BF4"/>
    <w:rsid w:val="00603322"/>
    <w:rsid w:val="0060552B"/>
    <w:rsid w:val="00607990"/>
    <w:rsid w:val="00615C5F"/>
    <w:rsid w:val="00621CF7"/>
    <w:rsid w:val="0063354F"/>
    <w:rsid w:val="0063428B"/>
    <w:rsid w:val="006418A2"/>
    <w:rsid w:val="00647440"/>
    <w:rsid w:val="00651DE4"/>
    <w:rsid w:val="00653032"/>
    <w:rsid w:val="00653DF4"/>
    <w:rsid w:val="006723D6"/>
    <w:rsid w:val="00673CF0"/>
    <w:rsid w:val="00685842"/>
    <w:rsid w:val="00686B2A"/>
    <w:rsid w:val="006878C5"/>
    <w:rsid w:val="006931B5"/>
    <w:rsid w:val="006944A5"/>
    <w:rsid w:val="006A4246"/>
    <w:rsid w:val="006A7519"/>
    <w:rsid w:val="006B688F"/>
    <w:rsid w:val="006C0E27"/>
    <w:rsid w:val="006C6B39"/>
    <w:rsid w:val="006C7FF5"/>
    <w:rsid w:val="006D0828"/>
    <w:rsid w:val="006D0D7C"/>
    <w:rsid w:val="006D6A4E"/>
    <w:rsid w:val="006E245F"/>
    <w:rsid w:val="006E5C8D"/>
    <w:rsid w:val="006F00EF"/>
    <w:rsid w:val="007011CA"/>
    <w:rsid w:val="00705A69"/>
    <w:rsid w:val="007065B9"/>
    <w:rsid w:val="00715D80"/>
    <w:rsid w:val="0071668E"/>
    <w:rsid w:val="00723355"/>
    <w:rsid w:val="00735A13"/>
    <w:rsid w:val="00744BEB"/>
    <w:rsid w:val="0074508B"/>
    <w:rsid w:val="00745292"/>
    <w:rsid w:val="00753D59"/>
    <w:rsid w:val="0075785F"/>
    <w:rsid w:val="007615B8"/>
    <w:rsid w:val="00767ACF"/>
    <w:rsid w:val="007709F7"/>
    <w:rsid w:val="00781C52"/>
    <w:rsid w:val="00782036"/>
    <w:rsid w:val="00784428"/>
    <w:rsid w:val="0078544A"/>
    <w:rsid w:val="007A0153"/>
    <w:rsid w:val="007A201C"/>
    <w:rsid w:val="007A5200"/>
    <w:rsid w:val="007A64CA"/>
    <w:rsid w:val="007A6808"/>
    <w:rsid w:val="007C7DC9"/>
    <w:rsid w:val="007D6D0E"/>
    <w:rsid w:val="007E1B65"/>
    <w:rsid w:val="007E27DD"/>
    <w:rsid w:val="007E6634"/>
    <w:rsid w:val="007E7DF8"/>
    <w:rsid w:val="007F0939"/>
    <w:rsid w:val="007F14CE"/>
    <w:rsid w:val="007F1C21"/>
    <w:rsid w:val="007F2123"/>
    <w:rsid w:val="00803972"/>
    <w:rsid w:val="008040D8"/>
    <w:rsid w:val="00820BC1"/>
    <w:rsid w:val="008343BD"/>
    <w:rsid w:val="0084105E"/>
    <w:rsid w:val="00842773"/>
    <w:rsid w:val="008466CB"/>
    <w:rsid w:val="00847AF7"/>
    <w:rsid w:val="008542DA"/>
    <w:rsid w:val="008639A1"/>
    <w:rsid w:val="00870796"/>
    <w:rsid w:val="00871498"/>
    <w:rsid w:val="00873EB7"/>
    <w:rsid w:val="00874F95"/>
    <w:rsid w:val="00877DEC"/>
    <w:rsid w:val="00880986"/>
    <w:rsid w:val="008836D8"/>
    <w:rsid w:val="0088398A"/>
    <w:rsid w:val="0088509D"/>
    <w:rsid w:val="00895240"/>
    <w:rsid w:val="008B45DC"/>
    <w:rsid w:val="008C05CF"/>
    <w:rsid w:val="008D3530"/>
    <w:rsid w:val="008D6F25"/>
    <w:rsid w:val="008E1087"/>
    <w:rsid w:val="008E20CC"/>
    <w:rsid w:val="008E6119"/>
    <w:rsid w:val="008E77FA"/>
    <w:rsid w:val="008F7189"/>
    <w:rsid w:val="009059EB"/>
    <w:rsid w:val="00913E7D"/>
    <w:rsid w:val="00915DE3"/>
    <w:rsid w:val="00920A8F"/>
    <w:rsid w:val="00940FDC"/>
    <w:rsid w:val="009420A5"/>
    <w:rsid w:val="00943A4B"/>
    <w:rsid w:val="00946155"/>
    <w:rsid w:val="00956A97"/>
    <w:rsid w:val="009626D1"/>
    <w:rsid w:val="0097334F"/>
    <w:rsid w:val="00992F37"/>
    <w:rsid w:val="00993D0E"/>
    <w:rsid w:val="009A134C"/>
    <w:rsid w:val="009A1EEE"/>
    <w:rsid w:val="009C44D9"/>
    <w:rsid w:val="009C54E8"/>
    <w:rsid w:val="009D0556"/>
    <w:rsid w:val="009D38F4"/>
    <w:rsid w:val="009E2181"/>
    <w:rsid w:val="009E5B7B"/>
    <w:rsid w:val="00A02444"/>
    <w:rsid w:val="00A07394"/>
    <w:rsid w:val="00A12016"/>
    <w:rsid w:val="00A13FF4"/>
    <w:rsid w:val="00A15413"/>
    <w:rsid w:val="00A162D0"/>
    <w:rsid w:val="00A20F90"/>
    <w:rsid w:val="00A22EDA"/>
    <w:rsid w:val="00A37BEA"/>
    <w:rsid w:val="00A42E69"/>
    <w:rsid w:val="00A502AE"/>
    <w:rsid w:val="00A54AF5"/>
    <w:rsid w:val="00A55FBB"/>
    <w:rsid w:val="00A57A78"/>
    <w:rsid w:val="00A61322"/>
    <w:rsid w:val="00A6757E"/>
    <w:rsid w:val="00A70A94"/>
    <w:rsid w:val="00A71F36"/>
    <w:rsid w:val="00A72644"/>
    <w:rsid w:val="00A72AC0"/>
    <w:rsid w:val="00A73314"/>
    <w:rsid w:val="00A7574D"/>
    <w:rsid w:val="00A75FC3"/>
    <w:rsid w:val="00A77D3E"/>
    <w:rsid w:val="00A82700"/>
    <w:rsid w:val="00A90A7C"/>
    <w:rsid w:val="00A91F4A"/>
    <w:rsid w:val="00AB2C28"/>
    <w:rsid w:val="00AC457E"/>
    <w:rsid w:val="00AC5420"/>
    <w:rsid w:val="00AD20B6"/>
    <w:rsid w:val="00AD284E"/>
    <w:rsid w:val="00AD5725"/>
    <w:rsid w:val="00AE1123"/>
    <w:rsid w:val="00AE2975"/>
    <w:rsid w:val="00AE2E74"/>
    <w:rsid w:val="00AE5253"/>
    <w:rsid w:val="00AF038F"/>
    <w:rsid w:val="00AF67C5"/>
    <w:rsid w:val="00AF74F8"/>
    <w:rsid w:val="00AF7DCE"/>
    <w:rsid w:val="00B030FC"/>
    <w:rsid w:val="00B059A7"/>
    <w:rsid w:val="00B17B74"/>
    <w:rsid w:val="00B22AD1"/>
    <w:rsid w:val="00B3511C"/>
    <w:rsid w:val="00B506EE"/>
    <w:rsid w:val="00B53A87"/>
    <w:rsid w:val="00B54914"/>
    <w:rsid w:val="00B54BBD"/>
    <w:rsid w:val="00B55A9D"/>
    <w:rsid w:val="00B61F26"/>
    <w:rsid w:val="00B7098C"/>
    <w:rsid w:val="00B76185"/>
    <w:rsid w:val="00B8125C"/>
    <w:rsid w:val="00B823C0"/>
    <w:rsid w:val="00B86B14"/>
    <w:rsid w:val="00B877A9"/>
    <w:rsid w:val="00B87F50"/>
    <w:rsid w:val="00B9683E"/>
    <w:rsid w:val="00BA0049"/>
    <w:rsid w:val="00BA6957"/>
    <w:rsid w:val="00BB2A66"/>
    <w:rsid w:val="00BB3295"/>
    <w:rsid w:val="00BB3B80"/>
    <w:rsid w:val="00BB4C21"/>
    <w:rsid w:val="00BD0345"/>
    <w:rsid w:val="00BD4386"/>
    <w:rsid w:val="00BE21E3"/>
    <w:rsid w:val="00BE4E91"/>
    <w:rsid w:val="00BF44BB"/>
    <w:rsid w:val="00BF638B"/>
    <w:rsid w:val="00C04177"/>
    <w:rsid w:val="00C16EF6"/>
    <w:rsid w:val="00C26E9E"/>
    <w:rsid w:val="00C27474"/>
    <w:rsid w:val="00C37D02"/>
    <w:rsid w:val="00C4355A"/>
    <w:rsid w:val="00C478ED"/>
    <w:rsid w:val="00C70FB9"/>
    <w:rsid w:val="00C72B36"/>
    <w:rsid w:val="00C73709"/>
    <w:rsid w:val="00C833D6"/>
    <w:rsid w:val="00C846A2"/>
    <w:rsid w:val="00CB1F45"/>
    <w:rsid w:val="00CB4987"/>
    <w:rsid w:val="00CB5684"/>
    <w:rsid w:val="00CD0BB1"/>
    <w:rsid w:val="00CD7805"/>
    <w:rsid w:val="00CE008B"/>
    <w:rsid w:val="00CE05F9"/>
    <w:rsid w:val="00CE5E87"/>
    <w:rsid w:val="00D07669"/>
    <w:rsid w:val="00D116A5"/>
    <w:rsid w:val="00D15EB4"/>
    <w:rsid w:val="00D1644C"/>
    <w:rsid w:val="00D171E4"/>
    <w:rsid w:val="00D21AD7"/>
    <w:rsid w:val="00D3723B"/>
    <w:rsid w:val="00D51088"/>
    <w:rsid w:val="00D54280"/>
    <w:rsid w:val="00D60AC6"/>
    <w:rsid w:val="00D61459"/>
    <w:rsid w:val="00D82CF2"/>
    <w:rsid w:val="00D909AE"/>
    <w:rsid w:val="00D922A9"/>
    <w:rsid w:val="00D93F9E"/>
    <w:rsid w:val="00DA10E0"/>
    <w:rsid w:val="00DA5BE0"/>
    <w:rsid w:val="00DA6FEA"/>
    <w:rsid w:val="00DC51B3"/>
    <w:rsid w:val="00DD0DB6"/>
    <w:rsid w:val="00DD5180"/>
    <w:rsid w:val="00DE09EC"/>
    <w:rsid w:val="00DE265B"/>
    <w:rsid w:val="00DF4323"/>
    <w:rsid w:val="00E108EB"/>
    <w:rsid w:val="00E132D7"/>
    <w:rsid w:val="00E14BDF"/>
    <w:rsid w:val="00E16469"/>
    <w:rsid w:val="00E179BE"/>
    <w:rsid w:val="00E20419"/>
    <w:rsid w:val="00E204B1"/>
    <w:rsid w:val="00E241DA"/>
    <w:rsid w:val="00E2523D"/>
    <w:rsid w:val="00E26076"/>
    <w:rsid w:val="00E302F5"/>
    <w:rsid w:val="00E33511"/>
    <w:rsid w:val="00E347F3"/>
    <w:rsid w:val="00E41B0F"/>
    <w:rsid w:val="00E44F81"/>
    <w:rsid w:val="00E47AB8"/>
    <w:rsid w:val="00E53299"/>
    <w:rsid w:val="00E539CA"/>
    <w:rsid w:val="00E619B2"/>
    <w:rsid w:val="00E66E05"/>
    <w:rsid w:val="00E67066"/>
    <w:rsid w:val="00E67DBA"/>
    <w:rsid w:val="00E751C8"/>
    <w:rsid w:val="00E81FAC"/>
    <w:rsid w:val="00E8550D"/>
    <w:rsid w:val="00E91152"/>
    <w:rsid w:val="00E914D7"/>
    <w:rsid w:val="00EA6522"/>
    <w:rsid w:val="00EA72E8"/>
    <w:rsid w:val="00EC521E"/>
    <w:rsid w:val="00ED1E20"/>
    <w:rsid w:val="00ED348A"/>
    <w:rsid w:val="00ED3FB0"/>
    <w:rsid w:val="00ED46A7"/>
    <w:rsid w:val="00ED6089"/>
    <w:rsid w:val="00EE054E"/>
    <w:rsid w:val="00EE2239"/>
    <w:rsid w:val="00EE5EC9"/>
    <w:rsid w:val="00EE5FE4"/>
    <w:rsid w:val="00EF0273"/>
    <w:rsid w:val="00EF038C"/>
    <w:rsid w:val="00EF1F80"/>
    <w:rsid w:val="00EF4D32"/>
    <w:rsid w:val="00F03865"/>
    <w:rsid w:val="00F15711"/>
    <w:rsid w:val="00F1617A"/>
    <w:rsid w:val="00F242D5"/>
    <w:rsid w:val="00F25422"/>
    <w:rsid w:val="00F2624E"/>
    <w:rsid w:val="00F30EC6"/>
    <w:rsid w:val="00F32E3D"/>
    <w:rsid w:val="00F4060C"/>
    <w:rsid w:val="00F42274"/>
    <w:rsid w:val="00F42BE0"/>
    <w:rsid w:val="00F5378E"/>
    <w:rsid w:val="00F670B2"/>
    <w:rsid w:val="00F71A91"/>
    <w:rsid w:val="00F71C8B"/>
    <w:rsid w:val="00F728B4"/>
    <w:rsid w:val="00F7785F"/>
    <w:rsid w:val="00F8317E"/>
    <w:rsid w:val="00F832D6"/>
    <w:rsid w:val="00F870C9"/>
    <w:rsid w:val="00F96B52"/>
    <w:rsid w:val="00F972A9"/>
    <w:rsid w:val="00FA2727"/>
    <w:rsid w:val="00FA3AB9"/>
    <w:rsid w:val="00FB1169"/>
    <w:rsid w:val="00FB3276"/>
    <w:rsid w:val="00FB64DA"/>
    <w:rsid w:val="00FC0A0C"/>
    <w:rsid w:val="00FC2AA7"/>
    <w:rsid w:val="00FC738E"/>
    <w:rsid w:val="00FD17E4"/>
    <w:rsid w:val="00FD1FCD"/>
    <w:rsid w:val="00FD5484"/>
    <w:rsid w:val="00FD6F60"/>
    <w:rsid w:val="00FE1574"/>
    <w:rsid w:val="00FE4926"/>
    <w:rsid w:val="00FE764A"/>
    <w:rsid w:val="00FF5033"/>
    <w:rsid w:val="00FF6E12"/>
    <w:rsid w:val="023E219D"/>
    <w:rsid w:val="070E6657"/>
    <w:rsid w:val="09CB4CD3"/>
    <w:rsid w:val="0AA7129C"/>
    <w:rsid w:val="0B226B74"/>
    <w:rsid w:val="0BF51ABF"/>
    <w:rsid w:val="0C26093E"/>
    <w:rsid w:val="0CCC352E"/>
    <w:rsid w:val="0CEF6B4B"/>
    <w:rsid w:val="0DD231BA"/>
    <w:rsid w:val="0F9A4024"/>
    <w:rsid w:val="0FD934B0"/>
    <w:rsid w:val="102E1B18"/>
    <w:rsid w:val="108217FC"/>
    <w:rsid w:val="11E91CA5"/>
    <w:rsid w:val="15BE749A"/>
    <w:rsid w:val="15F1786F"/>
    <w:rsid w:val="18FD1A69"/>
    <w:rsid w:val="19876CB0"/>
    <w:rsid w:val="1A2E143A"/>
    <w:rsid w:val="1AE942C0"/>
    <w:rsid w:val="1C7F29D1"/>
    <w:rsid w:val="1CC21F65"/>
    <w:rsid w:val="1ECB3353"/>
    <w:rsid w:val="1F8654CC"/>
    <w:rsid w:val="1FD9384E"/>
    <w:rsid w:val="22646F84"/>
    <w:rsid w:val="227B299A"/>
    <w:rsid w:val="2404550C"/>
    <w:rsid w:val="24593A32"/>
    <w:rsid w:val="25B75F7D"/>
    <w:rsid w:val="25EC156B"/>
    <w:rsid w:val="26B60D87"/>
    <w:rsid w:val="26E73BA5"/>
    <w:rsid w:val="28D64E56"/>
    <w:rsid w:val="2ED457CC"/>
    <w:rsid w:val="33C13803"/>
    <w:rsid w:val="35042CC3"/>
    <w:rsid w:val="37263F20"/>
    <w:rsid w:val="38A345A1"/>
    <w:rsid w:val="394A0EC1"/>
    <w:rsid w:val="3B732951"/>
    <w:rsid w:val="3B754425"/>
    <w:rsid w:val="3C526205"/>
    <w:rsid w:val="3CD25455"/>
    <w:rsid w:val="3CF27376"/>
    <w:rsid w:val="3D1A629F"/>
    <w:rsid w:val="3DC47494"/>
    <w:rsid w:val="42717834"/>
    <w:rsid w:val="432F4DFF"/>
    <w:rsid w:val="43792ACE"/>
    <w:rsid w:val="441B027B"/>
    <w:rsid w:val="44453AD8"/>
    <w:rsid w:val="447763D2"/>
    <w:rsid w:val="45F03FD1"/>
    <w:rsid w:val="46814BDA"/>
    <w:rsid w:val="489363E0"/>
    <w:rsid w:val="48C143A3"/>
    <w:rsid w:val="4A154C94"/>
    <w:rsid w:val="4A3F0E27"/>
    <w:rsid w:val="4BFA0BFD"/>
    <w:rsid w:val="519968F8"/>
    <w:rsid w:val="57126D6B"/>
    <w:rsid w:val="575D6537"/>
    <w:rsid w:val="5C051833"/>
    <w:rsid w:val="5DAE092C"/>
    <w:rsid w:val="5DCF4CE6"/>
    <w:rsid w:val="6223212B"/>
    <w:rsid w:val="63D25BB7"/>
    <w:rsid w:val="650A75D2"/>
    <w:rsid w:val="65B5753E"/>
    <w:rsid w:val="66285F62"/>
    <w:rsid w:val="681C62A3"/>
    <w:rsid w:val="68D75A1D"/>
    <w:rsid w:val="6A70612A"/>
    <w:rsid w:val="6AD2552B"/>
    <w:rsid w:val="711E0E0B"/>
    <w:rsid w:val="72AA1E68"/>
    <w:rsid w:val="740F250F"/>
    <w:rsid w:val="745F7501"/>
    <w:rsid w:val="74E6183A"/>
    <w:rsid w:val="770E2F52"/>
    <w:rsid w:val="798830E0"/>
    <w:rsid w:val="7AA240DD"/>
    <w:rsid w:val="7AD52457"/>
    <w:rsid w:val="7BDF3671"/>
    <w:rsid w:val="7CC3658D"/>
    <w:rsid w:val="7D1C25DB"/>
    <w:rsid w:val="7DDB22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qFormat="1" w:unhideWhenUsed="0" w:uiPriority="0" w:semiHidden="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Salutation"/>
    <w:basedOn w:val="1"/>
    <w:next w:val="1"/>
    <w:qFormat/>
    <w:uiPriority w:val="0"/>
    <w:rPr>
      <w:sz w:val="28"/>
      <w:szCs w:val="28"/>
    </w:rPr>
  </w:style>
  <w:style w:type="paragraph" w:styleId="4">
    <w:name w:val="Closing"/>
    <w:basedOn w:val="1"/>
    <w:qFormat/>
    <w:uiPriority w:val="0"/>
    <w:pPr>
      <w:ind w:left="100" w:leftChars="2100"/>
    </w:pPr>
    <w:rPr>
      <w:sz w:val="28"/>
      <w:szCs w:val="28"/>
    </w:rPr>
  </w:style>
  <w:style w:type="paragraph" w:styleId="5">
    <w:name w:val="Date"/>
    <w:basedOn w:val="1"/>
    <w:next w:val="1"/>
    <w:link w:val="16"/>
    <w:qFormat/>
    <w:uiPriority w:val="0"/>
    <w:pPr>
      <w:ind w:left="100" w:leftChars="2500"/>
    </w:pPr>
  </w:style>
  <w:style w:type="paragraph" w:styleId="6">
    <w:name w:val="Balloon Text"/>
    <w:basedOn w:val="1"/>
    <w:link w:val="17"/>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basedOn w:val="12"/>
    <w:qFormat/>
    <w:uiPriority w:val="0"/>
  </w:style>
  <w:style w:type="character" w:styleId="14">
    <w:name w:val="FollowedHyperlink"/>
    <w:unhideWhenUsed/>
    <w:qFormat/>
    <w:uiPriority w:val="99"/>
    <w:rPr>
      <w:color w:val="954F72"/>
      <w:u w:val="single"/>
    </w:rPr>
  </w:style>
  <w:style w:type="character" w:styleId="15">
    <w:name w:val="Hyperlink"/>
    <w:qFormat/>
    <w:uiPriority w:val="99"/>
    <w:rPr>
      <w:color w:val="0563C1"/>
      <w:u w:val="single"/>
    </w:rPr>
  </w:style>
  <w:style w:type="character" w:customStyle="1" w:styleId="16">
    <w:name w:val="日期 字符"/>
    <w:link w:val="5"/>
    <w:qFormat/>
    <w:uiPriority w:val="0"/>
    <w:rPr>
      <w:kern w:val="2"/>
      <w:sz w:val="21"/>
      <w:szCs w:val="24"/>
    </w:rPr>
  </w:style>
  <w:style w:type="character" w:customStyle="1" w:styleId="17">
    <w:name w:val="批注框文本 字符"/>
    <w:link w:val="6"/>
    <w:qFormat/>
    <w:uiPriority w:val="0"/>
    <w:rPr>
      <w:kern w:val="2"/>
      <w:sz w:val="18"/>
      <w:szCs w:val="18"/>
    </w:rPr>
  </w:style>
  <w:style w:type="paragraph" w:styleId="18">
    <w:name w:val="List Paragraph"/>
    <w:basedOn w:val="1"/>
    <w:qFormat/>
    <w:uiPriority w:val="99"/>
    <w:pPr>
      <w:ind w:firstLine="420" w:firstLineChars="200"/>
    </w:pPr>
    <w:rPr>
      <w:rFonts w:ascii="Calibri" w:hAnsi="Calibri"/>
      <w:szCs w:val="22"/>
    </w:rPr>
  </w:style>
  <w:style w:type="character" w:customStyle="1" w:styleId="19">
    <w:name w:val="未处理的提及1"/>
    <w:semiHidden/>
    <w:unhideWhenUsed/>
    <w:qFormat/>
    <w:uiPriority w:val="99"/>
    <w:rPr>
      <w:color w:val="605E5C"/>
      <w:shd w:val="clear" w:color="auto" w:fill="E1DFDD"/>
    </w:rPr>
  </w:style>
  <w:style w:type="paragraph" w:customStyle="1" w:styleId="20">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21">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22">
    <w:name w:val="xl6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23">
    <w:name w:val="Revision"/>
    <w:hidden/>
    <w:semiHidden/>
    <w:qFormat/>
    <w:uiPriority w:val="99"/>
    <w:rPr>
      <w:rFonts w:ascii="Times New Roman" w:hAnsi="Times New Roman" w:eastAsia="宋体" w:cs="Times New Roman"/>
      <w:kern w:val="2"/>
      <w:sz w:val="21"/>
      <w:szCs w:val="24"/>
      <w:lang w:val="en-US" w:eastAsia="zh-CN" w:bidi="ar-SA"/>
    </w:rPr>
  </w:style>
  <w:style w:type="character" w:customStyle="1" w:styleId="24">
    <w:name w:val="font11"/>
    <w:basedOn w:val="12"/>
    <w:qFormat/>
    <w:uiPriority w:val="0"/>
    <w:rPr>
      <w:rFonts w:hint="eastAsia" w:ascii="微软雅黑" w:hAnsi="微软雅黑" w:eastAsia="微软雅黑" w:cs="微软雅黑"/>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E74DCD-995A-4A3D-A971-15236032B8CF}">
  <ds:schemaRefs/>
</ds:datastoreItem>
</file>

<file path=docProps/app.xml><?xml version="1.0" encoding="utf-8"?>
<Properties xmlns="http://schemas.openxmlformats.org/officeDocument/2006/extended-properties" xmlns:vt="http://schemas.openxmlformats.org/officeDocument/2006/docPropsVTypes">
  <Template>Normal.dotm</Template>
  <Pages>7</Pages>
  <Words>3511</Words>
  <Characters>3745</Characters>
  <Lines>25</Lines>
  <Paragraphs>7</Paragraphs>
  <TotalTime>30</TotalTime>
  <ScaleCrop>false</ScaleCrop>
  <LinksUpToDate>false</LinksUpToDate>
  <CharactersWithSpaces>3759</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2023-02-06T07:33:00Z</dcterms:created>
  <dc:creator>dell</dc:creator>
  <cp:lastModifiedBy>庚辛</cp:lastModifiedBy>
  <cp:lastPrinted>2023-05-11T08:30:00Z</cp:lastPrinted>
  <dcterms:modified xsi:type="dcterms:W3CDTF">2023-05-19T06:48:18Z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51CE66A4A2BC4F6AB3918074780B7313_12</vt:lpwstr>
  </property>
</Properties>
</file>